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503" w:rsidRDefault="00C81211" w:rsidP="00EE0593">
      <w:pPr>
        <w:pStyle w:val="Ttulo"/>
        <w:spacing w:before="120" w:after="120" w:line="360" w:lineRule="auto"/>
        <w:rPr>
          <w:rFonts w:cs="Arial"/>
          <w:sz w:val="22"/>
          <w:szCs w:val="22"/>
        </w:rPr>
      </w:pPr>
      <w:bookmarkStart w:id="0" w:name="_GoBack"/>
      <w:bookmarkEnd w:id="0"/>
      <w:r>
        <w:rPr>
          <w:rFonts w:cs="Arial"/>
          <w:sz w:val="22"/>
          <w:szCs w:val="22"/>
        </w:rPr>
        <w:t>PROGRAMA 31RC</w:t>
      </w:r>
    </w:p>
    <w:p w:rsidR="00B76503" w:rsidRPr="00864D08" w:rsidRDefault="00B76503" w:rsidP="008857D2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B76503" w:rsidRPr="00864D08" w:rsidRDefault="0058462F" w:rsidP="008857D2">
      <w:pPr>
        <w:pStyle w:val="Ttulo2"/>
        <w:spacing w:before="120" w:after="120" w:line="360" w:lineRule="auto"/>
        <w:jc w:val="center"/>
        <w:rPr>
          <w:rFonts w:ascii="Arial" w:hAnsi="Arial"/>
          <w:bCs w:val="0"/>
          <w:iCs w:val="0"/>
          <w:sz w:val="22"/>
          <w:szCs w:val="22"/>
          <w:u w:val="single"/>
          <w:lang w:val="es-ES"/>
        </w:rPr>
      </w:pPr>
      <w:r>
        <w:rPr>
          <w:rFonts w:ascii="Arial" w:hAnsi="Arial"/>
          <w:bCs w:val="0"/>
          <w:iCs w:val="0"/>
          <w:sz w:val="22"/>
          <w:szCs w:val="22"/>
          <w:u w:val="single"/>
          <w:lang w:val="es-ES"/>
        </w:rPr>
        <w:t xml:space="preserve">C18 </w:t>
      </w:r>
      <w:r w:rsidR="00F77BB0" w:rsidRPr="00F77BB0">
        <w:rPr>
          <w:rFonts w:ascii="Arial" w:hAnsi="Arial"/>
          <w:bCs w:val="0"/>
          <w:iCs w:val="0"/>
          <w:sz w:val="22"/>
          <w:szCs w:val="22"/>
          <w:u w:val="single"/>
          <w:lang w:val="es-ES"/>
        </w:rPr>
        <w:t>I3</w:t>
      </w:r>
      <w:r w:rsidR="00F77BB0">
        <w:rPr>
          <w:rFonts w:ascii="Arial" w:hAnsi="Arial"/>
          <w:bCs w:val="0"/>
          <w:iCs w:val="0"/>
          <w:sz w:val="22"/>
          <w:szCs w:val="22"/>
          <w:u w:val="single"/>
          <w:lang w:val="es-ES"/>
        </w:rPr>
        <w:t xml:space="preserve"> </w:t>
      </w:r>
      <w:r w:rsidR="00EE4493">
        <w:rPr>
          <w:rFonts w:ascii="Arial" w:hAnsi="Arial"/>
          <w:bCs w:val="0"/>
          <w:iCs w:val="0"/>
          <w:sz w:val="22"/>
          <w:szCs w:val="22"/>
          <w:u w:val="single"/>
          <w:lang w:val="es-ES"/>
        </w:rPr>
        <w:t>A</w:t>
      </w:r>
      <w:r w:rsidR="00C81211">
        <w:rPr>
          <w:rFonts w:ascii="Arial" w:hAnsi="Arial"/>
          <w:bCs w:val="0"/>
          <w:iCs w:val="0"/>
          <w:sz w:val="22"/>
          <w:szCs w:val="22"/>
          <w:u w:val="single"/>
          <w:lang w:val="es-ES"/>
        </w:rPr>
        <w:t>UMENTO DE CAPACIDADES DE RESPUESTA ANTE CRISIS SANITARIAS</w:t>
      </w:r>
    </w:p>
    <w:p w:rsidR="00FC2F10" w:rsidRDefault="00FC2F10" w:rsidP="00FC2F10">
      <w:pPr>
        <w:spacing w:after="160"/>
        <w:ind w:right="499"/>
        <w:jc w:val="both"/>
        <w:rPr>
          <w:rFonts w:ascii="Arial" w:hAnsi="Arial" w:cs="Arial"/>
          <w:b/>
          <w:sz w:val="22"/>
          <w:szCs w:val="22"/>
        </w:rPr>
      </w:pPr>
    </w:p>
    <w:p w:rsidR="00FC2F10" w:rsidRPr="00C73D38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DENOMINACIÓN DEL COMPONENTE</w:t>
      </w:r>
    </w:p>
    <w:p w:rsidR="00FC2F10" w:rsidRDefault="00FC2F10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Renovación y ampliación de las capacidades del Sistema Nacional de Salud.</w:t>
      </w:r>
    </w:p>
    <w:p w:rsidR="0050398C" w:rsidRDefault="0050398C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FC2F10" w:rsidRPr="00C73D38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DESCRIPCIÓN GENERAL DEL COMPONENTE</w:t>
      </w:r>
    </w:p>
    <w:p w:rsidR="00FC2F10" w:rsidRDefault="00FC2F10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63F2A">
        <w:rPr>
          <w:rFonts w:ascii="Arial" w:hAnsi="Arial" w:cs="Arial"/>
          <w:sz w:val="22"/>
          <w:szCs w:val="22"/>
        </w:rPr>
        <w:t>El Componente consta de 5 reformas y 6 inversiones. Cada reforma e inversión pretende renovar y ampliar las capacidades del sistema sanitario en un ámbito específico.</w:t>
      </w:r>
    </w:p>
    <w:p w:rsidR="0050398C" w:rsidRPr="00763F2A" w:rsidRDefault="0050398C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FC2F10" w:rsidRPr="00763F2A" w:rsidRDefault="00FC2F10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63F2A">
        <w:rPr>
          <w:rFonts w:ascii="Arial" w:hAnsi="Arial" w:cs="Arial"/>
          <w:sz w:val="22"/>
          <w:szCs w:val="22"/>
        </w:rPr>
        <w:t>Las reformas son las siguientes:</w:t>
      </w:r>
    </w:p>
    <w:p w:rsidR="00FC2F10" w:rsidRPr="00A13FE2" w:rsidRDefault="00FC2F10" w:rsidP="00FC2F10">
      <w:pPr>
        <w:spacing w:before="120" w:after="120" w:line="360" w:lineRule="auto"/>
        <w:ind w:firstLine="425"/>
        <w:contextualSpacing/>
        <w:rPr>
          <w:rFonts w:ascii="Arial" w:hAnsi="Arial" w:cs="Arial"/>
          <w:sz w:val="22"/>
          <w:szCs w:val="22"/>
          <w:lang w:val="es-ES_tradnl"/>
        </w:rPr>
      </w:pPr>
      <w:r w:rsidRPr="00A13FE2">
        <w:rPr>
          <w:rFonts w:ascii="Arial" w:hAnsi="Arial" w:cs="Arial"/>
          <w:sz w:val="22"/>
          <w:szCs w:val="22"/>
          <w:lang w:val="es-ES_tradnl"/>
        </w:rPr>
        <w:t xml:space="preserve">1. Fortalecimiento de la atención primaria y comunitaria. </w:t>
      </w:r>
    </w:p>
    <w:p w:rsidR="00FC2F10" w:rsidRPr="00A13FE2" w:rsidRDefault="00FC2F10" w:rsidP="00FC2F10">
      <w:pPr>
        <w:spacing w:before="120" w:after="120" w:line="360" w:lineRule="auto"/>
        <w:ind w:firstLine="425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2. Reforma del sistema de salud pública</w:t>
      </w:r>
    </w:p>
    <w:p w:rsidR="00FC2F10" w:rsidRPr="00A13FE2" w:rsidRDefault="00FC2F10" w:rsidP="00FC2F10">
      <w:pPr>
        <w:spacing w:before="120" w:after="120" w:line="360" w:lineRule="auto"/>
        <w:ind w:firstLine="425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3. Consolidación de la cohesión, la equidad y la universalidad</w:t>
      </w:r>
    </w:p>
    <w:p w:rsidR="00FC2F10" w:rsidRPr="00A13FE2" w:rsidRDefault="00FC2F10" w:rsidP="00FC2F10">
      <w:pPr>
        <w:spacing w:before="120" w:after="120" w:line="360" w:lineRule="auto"/>
        <w:ind w:firstLine="425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4. Refuerzo de las capacidades profesionales y reducción de la temporalidad</w:t>
      </w:r>
    </w:p>
    <w:p w:rsidR="00FC2F10" w:rsidRPr="00A13FE2" w:rsidRDefault="00FC2F10" w:rsidP="00FC2F10">
      <w:pPr>
        <w:spacing w:before="120" w:after="120" w:line="360" w:lineRule="auto"/>
        <w:ind w:firstLine="425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5. Reforma de la regulación de medicamentos y productos sanitarios y mejora del</w:t>
      </w:r>
    </w:p>
    <w:p w:rsidR="00FC2F10" w:rsidRPr="00A13FE2" w:rsidRDefault="00FC2F10" w:rsidP="00FC2F10">
      <w:pPr>
        <w:spacing w:before="120" w:after="120" w:line="360" w:lineRule="auto"/>
        <w:ind w:firstLine="708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acceso a medicamentos.</w:t>
      </w:r>
    </w:p>
    <w:p w:rsidR="00FC2F10" w:rsidRPr="0050398C" w:rsidRDefault="00FC2F10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0398C">
        <w:rPr>
          <w:rFonts w:ascii="Arial" w:hAnsi="Arial" w:cs="Arial"/>
          <w:sz w:val="22"/>
          <w:szCs w:val="22"/>
        </w:rPr>
        <w:t>Las 6 inversiones, con un coste total de 1.069.000.000 euros, son las siguientes:</w:t>
      </w:r>
    </w:p>
    <w:p w:rsidR="00FC2F10" w:rsidRPr="00A13FE2" w:rsidRDefault="00FC2F10" w:rsidP="00FC2F10">
      <w:pPr>
        <w:spacing w:before="120" w:after="120" w:line="360" w:lineRule="auto"/>
        <w:ind w:left="709" w:hanging="283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1. Plan de inversión en equipos de alta tecnología</w:t>
      </w:r>
    </w:p>
    <w:p w:rsidR="00FC2F10" w:rsidRPr="00A13FE2" w:rsidRDefault="00FC2F10" w:rsidP="00FC2F10">
      <w:pPr>
        <w:spacing w:before="120" w:after="120" w:line="360" w:lineRule="auto"/>
        <w:ind w:left="709" w:hanging="283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2. Acciones para reforzar la prevención y promoción de la salud</w:t>
      </w:r>
    </w:p>
    <w:p w:rsidR="00FC2F10" w:rsidRPr="00A13FE2" w:rsidRDefault="00FC2F10" w:rsidP="00FC2F10">
      <w:pPr>
        <w:spacing w:before="120" w:after="120" w:line="360" w:lineRule="auto"/>
        <w:ind w:left="709" w:hanging="283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3. Aumento de capacidades de respuesta ante crisis sanitarias</w:t>
      </w:r>
    </w:p>
    <w:p w:rsidR="00FC2F10" w:rsidRPr="00A13FE2" w:rsidRDefault="00FC2F10" w:rsidP="00FC2F10">
      <w:pPr>
        <w:spacing w:before="120" w:after="120" w:line="360" w:lineRule="auto"/>
        <w:ind w:left="709" w:hanging="283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4. Formación de profesionales sanitarios y recursos para compartir conocimiento</w:t>
      </w:r>
    </w:p>
    <w:p w:rsidR="00FC2F10" w:rsidRPr="00A13FE2" w:rsidRDefault="00FC2F10" w:rsidP="00FC2F10">
      <w:pPr>
        <w:spacing w:before="120" w:after="120" w:line="360" w:lineRule="auto"/>
        <w:ind w:left="709" w:hanging="283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5. Plan para la racionalización del consumo de productos farmacéuticos y fomento de la sostenibilidad.</w:t>
      </w:r>
    </w:p>
    <w:p w:rsidR="00FC2F10" w:rsidRPr="00A13FE2" w:rsidRDefault="00FC2F10" w:rsidP="00FC2F10">
      <w:pPr>
        <w:spacing w:before="120" w:after="120" w:line="360" w:lineRule="auto"/>
        <w:ind w:left="709" w:hanging="283"/>
        <w:contextualSpacing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6</w:t>
      </w:r>
      <w:r w:rsidRPr="00A13FE2">
        <w:rPr>
          <w:rFonts w:ascii="Arial" w:hAnsi="Arial"/>
          <w:i/>
          <w:sz w:val="22"/>
          <w:szCs w:val="22"/>
        </w:rPr>
        <w:t>. Data lake</w:t>
      </w:r>
      <w:r w:rsidRPr="00A13FE2">
        <w:rPr>
          <w:rFonts w:ascii="Arial" w:hAnsi="Arial"/>
          <w:sz w:val="22"/>
          <w:szCs w:val="22"/>
        </w:rPr>
        <w:t xml:space="preserve"> sanitario.</w:t>
      </w:r>
      <w:r w:rsidRPr="00A13FE2">
        <w:rPr>
          <w:rFonts w:ascii="Arial" w:hAnsi="Arial"/>
          <w:sz w:val="22"/>
          <w:szCs w:val="22"/>
        </w:rPr>
        <w:cr/>
      </w:r>
    </w:p>
    <w:p w:rsidR="00FC2F10" w:rsidRPr="00C73D38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PRINCIPALES OBJETIVOS DEL COMPONENTE</w:t>
      </w:r>
    </w:p>
    <w:p w:rsidR="00FC2F10" w:rsidRDefault="00FC2F10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13FE2">
        <w:rPr>
          <w:rFonts w:ascii="Arial" w:hAnsi="Arial" w:cs="Arial"/>
          <w:sz w:val="22"/>
          <w:szCs w:val="22"/>
        </w:rPr>
        <w:t xml:space="preserve">El objetivo general del componente es </w:t>
      </w:r>
      <w:r w:rsidRPr="0050398C">
        <w:rPr>
          <w:rFonts w:ascii="Arial" w:hAnsi="Arial" w:cs="Arial"/>
          <w:sz w:val="22"/>
          <w:szCs w:val="22"/>
        </w:rPr>
        <w:t xml:space="preserve">reforzar y fortalecer el Sistema Nacional de Salud español para que todas las personas tengan las máximas oportunidades de desarrollar y preservar su salud y que dispongan de un sistema sanitario público, universal y excelente, </w:t>
      </w:r>
      <w:r w:rsidRPr="0050398C">
        <w:rPr>
          <w:rFonts w:ascii="Arial" w:hAnsi="Arial" w:cs="Arial"/>
          <w:sz w:val="22"/>
          <w:szCs w:val="22"/>
        </w:rPr>
        <w:lastRenderedPageBreak/>
        <w:t>sólidamente cohesionado, proactivo, innovador e inteligente y con perspectiva de género, que cuide y promocione su salud a lo largo de toda la vida, en todas sus esferas.</w:t>
      </w:r>
    </w:p>
    <w:p w:rsidR="0050398C" w:rsidRPr="0050398C" w:rsidRDefault="0050398C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FC2F10" w:rsidRPr="0050398C" w:rsidRDefault="00FC2F10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0398C">
        <w:rPr>
          <w:rFonts w:ascii="Arial" w:hAnsi="Arial" w:cs="Arial"/>
          <w:sz w:val="22"/>
          <w:szCs w:val="22"/>
        </w:rPr>
        <w:t>Los objetivos específicos son los siguientes:</w:t>
      </w:r>
    </w:p>
    <w:p w:rsidR="00FC2F10" w:rsidRPr="00A13FE2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Preparar el Sistema para prevenir y afrontar posibles amenazas sanitarias globales como la actual derivada de la COVID-19. Incrementar las capacidades de salud pública y los sistemas de vigilancia epidemiológica.</w:t>
      </w:r>
    </w:p>
    <w:p w:rsidR="00FC2F10" w:rsidRPr="00A13FE2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Proteger la salud de toda la ciudadanía con equidad y prestarle una atención integral con la máxima rapidez, calidad, seguridad y capacidad resolutiva, independientemente de sus recursos o del lugar de residencia, género, origen o edad, garantizando su accesibilidad al sistema sanitario.</w:t>
      </w:r>
    </w:p>
    <w:p w:rsidR="00FC2F10" w:rsidRPr="00A13FE2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 xml:space="preserve">Mantener a las personas como centro del sistema, mejorando su participación y rediseñando la atención sanitaria para orientarla hacia la salud de las personas y de las </w:t>
      </w:r>
      <w:r w:rsidRPr="0050398C">
        <w:rPr>
          <w:rFonts w:ascii="Arial" w:hAnsi="Arial" w:cs="Arial"/>
          <w:sz w:val="22"/>
          <w:szCs w:val="22"/>
        </w:rPr>
        <w:t>comunidades, garantizando sistemas de información que permitan medir no solo</w:t>
      </w:r>
      <w:r w:rsidRPr="00A13FE2">
        <w:rPr>
          <w:rFonts w:ascii="Arial" w:hAnsi="Arial"/>
          <w:sz w:val="22"/>
          <w:szCs w:val="22"/>
        </w:rPr>
        <w:t xml:space="preserve"> actividad sino resultados finales en salud.</w:t>
      </w:r>
    </w:p>
    <w:p w:rsidR="00FC2F10" w:rsidRPr="00A13FE2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Promover la salud y el bienestar de forma activa y prevenir la enfermedad y la dependencia a lo largo de toda la vida.</w:t>
      </w:r>
    </w:p>
    <w:p w:rsidR="00FC2F10" w:rsidRPr="00A13FE2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Atraer y retener a los y las mejores profesionales, ofreciéndoles posibilidades de desarrollo individual y colectivo, de modo que consideren que el Sistema Nacional de Salud es el mejor lugar para desarrollar su carrera profesional.</w:t>
      </w:r>
    </w:p>
    <w:p w:rsidR="00FC2F10" w:rsidRPr="00A13FE2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 xml:space="preserve">Avanzar hacia un Sistema Nacional de Salud generador de información y conocimiento, digitalizado, y en el que se potencie la investigación y la innovación sanitaria, constituyéndose en tractor del empleo, el crecimiento, la productividad y la innovación del tejido empresarial y la sociedad en su conjunto. </w:t>
      </w:r>
    </w:p>
    <w:p w:rsidR="00FC2F10" w:rsidRPr="00A13FE2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 xml:space="preserve">Asegurar la financiación suficiente y sostenible para abordar los nuevos retos en salud propios de una sociedad moderna y desarrollada, y asegurar asimismo la eficiencia en el gasto, eliminando aquello que no aporta valor. </w:t>
      </w:r>
    </w:p>
    <w:p w:rsidR="00FC2F10" w:rsidRPr="00A13FE2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Fortalecer y desarrollar la coordinación y la gobernanza multinivel en la gestión del Sistema Nacional de Salud y potenciar la cohesión territorial.</w:t>
      </w:r>
    </w:p>
    <w:p w:rsidR="00FC2F10" w:rsidRDefault="00FC2F10" w:rsidP="009E1AA3">
      <w:pPr>
        <w:pStyle w:val="Prrafodelista"/>
        <w:numPr>
          <w:ilvl w:val="0"/>
          <w:numId w:val="5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/>
          <w:sz w:val="22"/>
          <w:szCs w:val="22"/>
        </w:rPr>
      </w:pPr>
      <w:r w:rsidRPr="00A13FE2">
        <w:rPr>
          <w:rFonts w:ascii="Arial" w:hAnsi="Arial"/>
          <w:sz w:val="22"/>
          <w:szCs w:val="22"/>
        </w:rPr>
        <w:t>Promover activamente estrategias para alcanzar la equidad de género en la salud, eliminando las desigualdades en salud injustas y evitables.</w:t>
      </w:r>
    </w:p>
    <w:p w:rsidR="0050398C" w:rsidRPr="00A13FE2" w:rsidRDefault="0050398C" w:rsidP="00763F2A">
      <w:pPr>
        <w:pStyle w:val="Prrafodelista"/>
        <w:spacing w:before="240" w:after="120" w:line="360" w:lineRule="auto"/>
        <w:ind w:left="714"/>
        <w:contextualSpacing w:val="0"/>
        <w:jc w:val="both"/>
        <w:rPr>
          <w:rFonts w:ascii="Arial" w:hAnsi="Arial"/>
          <w:sz w:val="22"/>
          <w:szCs w:val="22"/>
        </w:rPr>
      </w:pPr>
    </w:p>
    <w:p w:rsidR="00FC2F10" w:rsidRPr="00C73D38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73D38">
        <w:rPr>
          <w:rFonts w:ascii="Arial" w:hAnsi="Arial" w:cs="Arial"/>
          <w:sz w:val="22"/>
          <w:szCs w:val="22"/>
        </w:rPr>
        <w:t>DESCRIPCIÓN DE LA INVERSIÓN</w:t>
      </w:r>
    </w:p>
    <w:p w:rsidR="00FC2F10" w:rsidRPr="00763F2A" w:rsidRDefault="00FC2F10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63F2A">
        <w:rPr>
          <w:rFonts w:ascii="Arial" w:hAnsi="Arial" w:cs="Arial"/>
          <w:sz w:val="22"/>
          <w:szCs w:val="22"/>
        </w:rPr>
        <w:t>Una de las principales enseñanzas a extraer de la pandemia de COVID-19 es la necesidad de fortalecer las capacidades de vigilancia, detección precoz y respuesta rápida ante la eventualidad de cualquier situación crítica.</w:t>
      </w:r>
    </w:p>
    <w:p w:rsidR="00FC2F10" w:rsidRPr="0050398C" w:rsidRDefault="00FC2F10" w:rsidP="00763F2A">
      <w:pPr>
        <w:pStyle w:val="Prrafodelista"/>
        <w:spacing w:before="240" w:after="120"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63F2A">
        <w:rPr>
          <w:rFonts w:ascii="Arial" w:hAnsi="Arial" w:cs="Arial"/>
          <w:sz w:val="22"/>
          <w:szCs w:val="22"/>
        </w:rPr>
        <w:t xml:space="preserve">La Inversión 3 del Componente 18 </w:t>
      </w:r>
      <w:r w:rsidRPr="0050398C">
        <w:rPr>
          <w:rFonts w:ascii="Arial" w:hAnsi="Arial" w:cs="Arial"/>
          <w:sz w:val="22"/>
          <w:szCs w:val="22"/>
        </w:rPr>
        <w:t>se compone de un conjunto de actuaciones dirigidas precisamente a aumentar las capacidades de respuesta ante futuras crisis sanitarias. Son las siguientes:</w:t>
      </w:r>
    </w:p>
    <w:p w:rsidR="00FC2F10" w:rsidRPr="00FC2F10" w:rsidRDefault="00FC2F10" w:rsidP="009E1AA3">
      <w:pPr>
        <w:pStyle w:val="Prrafodelista"/>
        <w:numPr>
          <w:ilvl w:val="0"/>
          <w:numId w:val="8"/>
        </w:numPr>
        <w:spacing w:before="24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C2F10">
        <w:rPr>
          <w:rFonts w:ascii="Arial" w:hAnsi="Arial" w:cs="Arial"/>
          <w:sz w:val="22"/>
          <w:szCs w:val="22"/>
        </w:rPr>
        <w:t xml:space="preserve">Equipamiento tecnológico del nuevo Centro Estatal de Salud Pública. 9.450.000 euros </w:t>
      </w:r>
    </w:p>
    <w:p w:rsidR="00FC2F10" w:rsidRPr="00FC2F10" w:rsidRDefault="00FC2F10" w:rsidP="00FC2F10">
      <w:pPr>
        <w:pStyle w:val="Prrafodelista"/>
        <w:spacing w:before="24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C2F10">
        <w:rPr>
          <w:rFonts w:ascii="Arial" w:hAnsi="Arial" w:cs="Arial"/>
          <w:sz w:val="22"/>
          <w:szCs w:val="22"/>
        </w:rPr>
        <w:t xml:space="preserve">Esta inversión está vinculada con la R2. El nuevo Centro aglutinará las competencias, dispersas hasta ahora, en dos ámbitos principales: a) Vigilancia en salud pública, evaluaciones de riesgos y análisis de la situación en salud de la población española; b) Preparación del sistema sanitario ante amenazas para la salud pública, principalmente de carácter epidemiológico, y coordinación de las respuestas ante emergencias de salud pública nacionales e internacionales. </w:t>
      </w:r>
    </w:p>
    <w:p w:rsidR="00FC2F10" w:rsidRPr="00FC2F10" w:rsidRDefault="00FC2F10" w:rsidP="009E1AA3">
      <w:pPr>
        <w:pStyle w:val="Prrafodelista"/>
        <w:numPr>
          <w:ilvl w:val="0"/>
          <w:numId w:val="8"/>
        </w:numPr>
        <w:spacing w:before="24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C2F10">
        <w:rPr>
          <w:rFonts w:ascii="Arial" w:hAnsi="Arial" w:cs="Arial"/>
          <w:sz w:val="22"/>
          <w:szCs w:val="22"/>
        </w:rPr>
        <w:t>Sistema de Información de Vigilancia en Salud Pública: 27.400.000 euros.</w:t>
      </w:r>
    </w:p>
    <w:p w:rsidR="00FC2F10" w:rsidRPr="00FC2F10" w:rsidRDefault="00FC2F10" w:rsidP="00FC2F10">
      <w:pPr>
        <w:pStyle w:val="Prrafodelista"/>
        <w:spacing w:before="24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C2F10">
        <w:rPr>
          <w:rFonts w:ascii="Arial" w:hAnsi="Arial" w:cs="Arial"/>
          <w:sz w:val="22"/>
          <w:szCs w:val="22"/>
        </w:rPr>
        <w:t xml:space="preserve">Este sistema ampliará, mejorará e integrará los sistemas de información de enfermedades transmisibles y no transmisibles existentes en España. Incluirá el equipamiento y las herramientas tecnológicas que le dan soporte. Esta inversión se realizará tanto en el nodo central (nuevo Centro Estatal de Salud Pública y Ministerio de Sanidad) como en los nodos regionales (instituciones de salud pública de las Comunidades Autónomas). </w:t>
      </w:r>
    </w:p>
    <w:p w:rsidR="00FC2F10" w:rsidRPr="00FC2F10" w:rsidRDefault="00FC2F10" w:rsidP="009E1AA3">
      <w:pPr>
        <w:pStyle w:val="Prrafodelista"/>
        <w:numPr>
          <w:ilvl w:val="0"/>
          <w:numId w:val="8"/>
        </w:numPr>
        <w:spacing w:before="24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C2F10">
        <w:rPr>
          <w:rFonts w:ascii="Arial" w:hAnsi="Arial" w:cs="Arial"/>
          <w:sz w:val="22"/>
          <w:szCs w:val="22"/>
        </w:rPr>
        <w:t xml:space="preserve">Evaluación del desempeño del Sistema Nacional de Salud durante la pandemia: 800.000 euros. </w:t>
      </w:r>
    </w:p>
    <w:p w:rsidR="00FC2F10" w:rsidRDefault="00FC2F10" w:rsidP="00FC2F10">
      <w:pPr>
        <w:pStyle w:val="Prrafodelista"/>
        <w:spacing w:before="24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C2F10">
        <w:rPr>
          <w:rFonts w:ascii="Arial" w:hAnsi="Arial" w:cs="Arial"/>
          <w:sz w:val="22"/>
          <w:szCs w:val="22"/>
        </w:rPr>
        <w:t xml:space="preserve">Se considera necesario contar con una evaluación amplia y rigurosa del desempeño del Sistema Nacional de Salud frente a la pandemia de COVID-19. Esta evaluación permitirá conocer mejor la pandemia y su gestión en España, evaluar el impacto de las medidas tomadas a nivel del sistema sanitario y de salud pública, identificar áreas de mejora y proponer nuevas estrategias para su control. La evaluación del desempeño del Sistema Nacional de Salud frente a la pandemia de COVID-19 se realizará a nivel central, regional y local en las diferentes fases de la misma. La realizará un equipo independiente de evaluadores especializados, designados por el Consejo Interterritorial </w:t>
      </w:r>
      <w:r w:rsidRPr="00FC2F10">
        <w:rPr>
          <w:rFonts w:ascii="Arial" w:hAnsi="Arial" w:cs="Arial"/>
          <w:sz w:val="22"/>
          <w:szCs w:val="22"/>
        </w:rPr>
        <w:lastRenderedPageBreak/>
        <w:t>del Sistema Nacional de Salud. En su realización contará con el apoyo operativo de equipos de profesionales con la cualificación y experiencia requeridos para un proyecto de esta dimensión.</w:t>
      </w:r>
    </w:p>
    <w:p w:rsidR="0050398C" w:rsidRPr="00FC2F10" w:rsidRDefault="0050398C" w:rsidP="00FC2F10">
      <w:pPr>
        <w:pStyle w:val="Prrafodelista"/>
        <w:spacing w:before="24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9E1AA3">
      <w:pPr>
        <w:pStyle w:val="Ttulo1"/>
        <w:numPr>
          <w:ilvl w:val="0"/>
          <w:numId w:val="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COSTE DE LA INVERSIÓN Y DISTRIBUCIÓN ANUALIZADA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63"/>
        <w:gridCol w:w="1021"/>
        <w:gridCol w:w="1017"/>
        <w:gridCol w:w="1017"/>
        <w:gridCol w:w="1017"/>
        <w:gridCol w:w="964"/>
        <w:gridCol w:w="964"/>
        <w:gridCol w:w="964"/>
        <w:gridCol w:w="1017"/>
      </w:tblGrid>
      <w:tr w:rsidR="00FC2F10" w:rsidRPr="008C1FA6" w:rsidTr="001340DF">
        <w:trPr>
          <w:jc w:val="center"/>
        </w:trPr>
        <w:tc>
          <w:tcPr>
            <w:tcW w:w="0" w:type="auto"/>
            <w:vAlign w:val="center"/>
          </w:tcPr>
          <w:p w:rsidR="00FC2F10" w:rsidRPr="008C1FA6" w:rsidRDefault="00FC2F10" w:rsidP="001340D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Periodificación</w:t>
            </w:r>
          </w:p>
        </w:tc>
        <w:tc>
          <w:tcPr>
            <w:tcW w:w="1021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2020</w:t>
            </w:r>
          </w:p>
        </w:tc>
        <w:tc>
          <w:tcPr>
            <w:tcW w:w="964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2021</w:t>
            </w:r>
          </w:p>
        </w:tc>
        <w:tc>
          <w:tcPr>
            <w:tcW w:w="1017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2022</w:t>
            </w:r>
          </w:p>
        </w:tc>
        <w:tc>
          <w:tcPr>
            <w:tcW w:w="1017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2023</w:t>
            </w:r>
          </w:p>
        </w:tc>
        <w:tc>
          <w:tcPr>
            <w:tcW w:w="964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2024</w:t>
            </w:r>
          </w:p>
        </w:tc>
        <w:tc>
          <w:tcPr>
            <w:tcW w:w="964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2025</w:t>
            </w:r>
          </w:p>
        </w:tc>
        <w:tc>
          <w:tcPr>
            <w:tcW w:w="964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2026</w:t>
            </w:r>
          </w:p>
        </w:tc>
        <w:tc>
          <w:tcPr>
            <w:tcW w:w="964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</w:tr>
      <w:tr w:rsidR="00FC2F10" w:rsidRPr="008C1FA6" w:rsidTr="001340DF">
        <w:trPr>
          <w:jc w:val="center"/>
        </w:trPr>
        <w:tc>
          <w:tcPr>
            <w:tcW w:w="0" w:type="auto"/>
            <w:vAlign w:val="center"/>
          </w:tcPr>
          <w:p w:rsidR="00FC2F10" w:rsidRDefault="00FC2F10" w:rsidP="001340DF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Coste del </w:t>
            </w:r>
          </w:p>
          <w:p w:rsidR="00FC2F10" w:rsidRDefault="00FC2F10" w:rsidP="001340DF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Mecanismo </w:t>
            </w:r>
          </w:p>
          <w:p w:rsidR="00FC2F10" w:rsidRPr="008C1FA6" w:rsidRDefault="00FC2F10" w:rsidP="001340DF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(€)</w:t>
            </w:r>
          </w:p>
        </w:tc>
        <w:tc>
          <w:tcPr>
            <w:tcW w:w="1021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10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15.5</w:t>
            </w:r>
            <w:r w:rsidRPr="00805C6F">
              <w:rPr>
                <w:rFonts w:ascii="Arial" w:hAnsi="Arial"/>
                <w:sz w:val="16"/>
                <w:szCs w:val="16"/>
              </w:rPr>
              <w:t>00</w:t>
            </w:r>
            <w:r>
              <w:rPr>
                <w:rFonts w:ascii="Arial" w:hAnsi="Arial"/>
                <w:sz w:val="16"/>
                <w:szCs w:val="16"/>
              </w:rPr>
              <w:t>.000</w:t>
            </w:r>
          </w:p>
        </w:tc>
        <w:tc>
          <w:tcPr>
            <w:tcW w:w="1017" w:type="dxa"/>
            <w:vAlign w:val="center"/>
          </w:tcPr>
          <w:p w:rsidR="00FC2F10" w:rsidRPr="00805C6F" w:rsidRDefault="00FC2F10" w:rsidP="001340DF">
            <w:pPr>
              <w:spacing w:before="10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14.75</w:t>
            </w:r>
            <w:r w:rsidRPr="00805C6F">
              <w:rPr>
                <w:rFonts w:ascii="Arial" w:hAnsi="Arial"/>
                <w:sz w:val="16"/>
                <w:szCs w:val="16"/>
              </w:rPr>
              <w:t>0.000</w:t>
            </w:r>
          </w:p>
        </w:tc>
        <w:tc>
          <w:tcPr>
            <w:tcW w:w="1017" w:type="dxa"/>
            <w:vAlign w:val="center"/>
          </w:tcPr>
          <w:p w:rsidR="00FC2F10" w:rsidRPr="00805C6F" w:rsidRDefault="00FC2F10" w:rsidP="001340DF">
            <w:pPr>
              <w:spacing w:before="10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7.400</w:t>
            </w:r>
            <w:r w:rsidRPr="00805C6F">
              <w:rPr>
                <w:rFonts w:ascii="Arial" w:hAnsi="Arial"/>
                <w:sz w:val="16"/>
                <w:szCs w:val="16"/>
              </w:rPr>
              <w:t>.000</w:t>
            </w: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10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37.650</w:t>
            </w:r>
            <w:r w:rsidRPr="00805C6F">
              <w:rPr>
                <w:rFonts w:ascii="Arial" w:hAnsi="Arial"/>
                <w:sz w:val="16"/>
                <w:szCs w:val="16"/>
              </w:rPr>
              <w:t>.000</w:t>
            </w:r>
          </w:p>
        </w:tc>
      </w:tr>
      <w:tr w:rsidR="00FC2F10" w:rsidRPr="008C1FA6" w:rsidTr="001340DF">
        <w:trPr>
          <w:trHeight w:val="346"/>
          <w:jc w:val="center"/>
        </w:trPr>
        <w:tc>
          <w:tcPr>
            <w:tcW w:w="0" w:type="auto"/>
            <w:vAlign w:val="center"/>
          </w:tcPr>
          <w:p w:rsidR="00FC2F10" w:rsidRDefault="00FC2F10" w:rsidP="001340DF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Otra </w:t>
            </w:r>
          </w:p>
          <w:p w:rsidR="00FC2F10" w:rsidRDefault="00FC2F10" w:rsidP="001340DF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inanciación </w:t>
            </w:r>
          </w:p>
          <w:p w:rsidR="00FC2F10" w:rsidRPr="008C1FA6" w:rsidRDefault="00FC2F10" w:rsidP="001340DF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(€)</w:t>
            </w:r>
          </w:p>
        </w:tc>
        <w:tc>
          <w:tcPr>
            <w:tcW w:w="1021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A64EF" w:rsidRDefault="00FC2F10" w:rsidP="001340DF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17" w:type="dxa"/>
            <w:vAlign w:val="center"/>
          </w:tcPr>
          <w:p w:rsidR="00FC2F10" w:rsidRPr="008A64EF" w:rsidRDefault="00FC2F10" w:rsidP="001340DF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17" w:type="dxa"/>
            <w:vAlign w:val="center"/>
          </w:tcPr>
          <w:p w:rsidR="00FC2F10" w:rsidRPr="008A64EF" w:rsidRDefault="00FC2F10" w:rsidP="001340DF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B63D47" w:rsidRDefault="00FC2F10" w:rsidP="001340DF">
            <w:pPr>
              <w:spacing w:before="100"/>
              <w:rPr>
                <w:rFonts w:ascii="Arial" w:hAnsi="Arial"/>
                <w:sz w:val="18"/>
                <w:szCs w:val="18"/>
              </w:rPr>
            </w:pPr>
          </w:p>
        </w:tc>
      </w:tr>
      <w:tr w:rsidR="00FC2F10" w:rsidRPr="008C1FA6" w:rsidTr="001340DF">
        <w:trPr>
          <w:jc w:val="center"/>
        </w:trPr>
        <w:tc>
          <w:tcPr>
            <w:tcW w:w="0" w:type="auto"/>
            <w:vAlign w:val="center"/>
          </w:tcPr>
          <w:p w:rsidR="00FC2F10" w:rsidRDefault="00FC2F10" w:rsidP="001340DF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Total </w:t>
            </w:r>
          </w:p>
          <w:p w:rsidR="00FC2F10" w:rsidRPr="008C1FA6" w:rsidRDefault="00FC2F10" w:rsidP="001340DF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(€)</w:t>
            </w:r>
          </w:p>
        </w:tc>
        <w:tc>
          <w:tcPr>
            <w:tcW w:w="1021" w:type="dxa"/>
            <w:vAlign w:val="center"/>
          </w:tcPr>
          <w:p w:rsidR="00FC2F10" w:rsidRPr="008C1FA6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10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15.500.000</w:t>
            </w:r>
          </w:p>
        </w:tc>
        <w:tc>
          <w:tcPr>
            <w:tcW w:w="1017" w:type="dxa"/>
            <w:vAlign w:val="center"/>
          </w:tcPr>
          <w:p w:rsidR="00FC2F10" w:rsidRPr="00805C6F" w:rsidRDefault="00FC2F10" w:rsidP="001340DF">
            <w:pPr>
              <w:spacing w:before="10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14.750</w:t>
            </w:r>
            <w:r w:rsidRPr="00805C6F">
              <w:rPr>
                <w:rFonts w:ascii="Arial" w:hAnsi="Arial"/>
                <w:sz w:val="16"/>
                <w:szCs w:val="16"/>
              </w:rPr>
              <w:t>.000</w:t>
            </w:r>
          </w:p>
        </w:tc>
        <w:tc>
          <w:tcPr>
            <w:tcW w:w="1017" w:type="dxa"/>
            <w:vAlign w:val="center"/>
          </w:tcPr>
          <w:p w:rsidR="00FC2F10" w:rsidRPr="00805C6F" w:rsidRDefault="00FC2F10" w:rsidP="001340DF">
            <w:pPr>
              <w:spacing w:before="100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7.400</w:t>
            </w:r>
            <w:r w:rsidRPr="00805C6F">
              <w:rPr>
                <w:rFonts w:ascii="Arial" w:hAnsi="Arial"/>
                <w:sz w:val="16"/>
                <w:szCs w:val="16"/>
              </w:rPr>
              <w:t>.000</w:t>
            </w: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FC2F10" w:rsidRPr="00805C6F" w:rsidRDefault="00FC2F10" w:rsidP="001340DF">
            <w:pPr>
              <w:spacing w:before="10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37.650</w:t>
            </w:r>
            <w:r w:rsidRPr="00805C6F">
              <w:rPr>
                <w:rFonts w:ascii="Arial" w:hAnsi="Arial"/>
                <w:sz w:val="16"/>
                <w:szCs w:val="16"/>
              </w:rPr>
              <w:t>.000</w:t>
            </w:r>
          </w:p>
        </w:tc>
      </w:tr>
    </w:tbl>
    <w:p w:rsidR="0050398C" w:rsidRDefault="0050398C" w:rsidP="00763F2A">
      <w:pPr>
        <w:pStyle w:val="Ttulo1"/>
        <w:spacing w:before="36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FC2F10" w:rsidRDefault="00FC2F10" w:rsidP="004C76F6">
      <w:pPr>
        <w:pStyle w:val="Ttulo1"/>
        <w:numPr>
          <w:ilvl w:val="0"/>
          <w:numId w:val="3"/>
        </w:numPr>
        <w:spacing w:before="360"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HITOS Y OBJETIVOS DE LA INVERSIÓN</w:t>
      </w:r>
    </w:p>
    <w:p w:rsidR="00FC2F10" w:rsidRPr="00876B4B" w:rsidRDefault="00FC2F10" w:rsidP="001340DF">
      <w:pPr>
        <w:pStyle w:val="Prrafodelista"/>
        <w:numPr>
          <w:ilvl w:val="0"/>
          <w:numId w:val="9"/>
        </w:numPr>
        <w:spacing w:before="120" w:after="120" w:line="360" w:lineRule="auto"/>
        <w:ind w:left="993" w:right="499" w:hanging="284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876B4B">
        <w:rPr>
          <w:rFonts w:ascii="Arial" w:hAnsi="Arial" w:cs="Arial"/>
          <w:sz w:val="22"/>
          <w:szCs w:val="22"/>
        </w:rPr>
        <w:t>Sistema de Información de la Red de Vigilancia en Salud Pública</w:t>
      </w:r>
      <w:r w:rsidR="00876B4B" w:rsidRPr="00876B4B">
        <w:rPr>
          <w:rFonts w:ascii="Arial" w:hAnsi="Arial" w:cs="Arial"/>
          <w:sz w:val="22"/>
          <w:szCs w:val="22"/>
        </w:rPr>
        <w:t>.</w:t>
      </w:r>
      <w:r w:rsidR="00876B4B">
        <w:rPr>
          <w:rFonts w:ascii="Arial" w:hAnsi="Arial" w:cs="Arial"/>
          <w:sz w:val="22"/>
          <w:szCs w:val="22"/>
        </w:rPr>
        <w:t xml:space="preserve"> </w:t>
      </w:r>
      <w:r w:rsidRPr="00876B4B">
        <w:rPr>
          <w:rFonts w:ascii="Arial" w:hAnsi="Arial" w:cs="Arial"/>
          <w:sz w:val="22"/>
          <w:szCs w:val="22"/>
        </w:rPr>
        <w:t>Certificado de entrada en funcionamiento.</w:t>
      </w:r>
    </w:p>
    <w:p w:rsidR="00FC2F10" w:rsidRPr="00A340FD" w:rsidRDefault="00FC2F10" w:rsidP="009E1AA3">
      <w:pPr>
        <w:pStyle w:val="Prrafodelista"/>
        <w:numPr>
          <w:ilvl w:val="0"/>
          <w:numId w:val="7"/>
        </w:numPr>
        <w:spacing w:before="120" w:line="360" w:lineRule="auto"/>
        <w:ind w:left="993" w:right="499" w:hanging="284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Horizonte temporal: Trimestre 4. Año 2023.</w:t>
      </w:r>
    </w:p>
    <w:p w:rsidR="00FC2F10" w:rsidRDefault="00FC2F10" w:rsidP="00763F2A">
      <w:pPr>
        <w:spacing w:before="240" w:after="120" w:line="360" w:lineRule="auto"/>
        <w:ind w:left="992"/>
        <w:jc w:val="both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</w:rPr>
        <w:t>Estará operativo un sistema de seguimiento para el Gobierno de España y las Comunidades Autónomas (Sistema de Información de la Red de Vigilancia en Salud Pública) que permitirá la alerta temprana y la respuesta rápida, con el fin</w:t>
      </w:r>
      <w:r w:rsidR="00F93085">
        <w:rPr>
          <w:rFonts w:ascii="Arial" w:hAnsi="Arial" w:cs="Arial"/>
          <w:sz w:val="22"/>
          <w:szCs w:val="22"/>
        </w:rPr>
        <w:t xml:space="preserve"> de detectar problemas que puedan plantear un riesgo para la salud, difundir información de las autoridades competentes y facilitar la aplicación de medidas de control. </w:t>
      </w:r>
    </w:p>
    <w:p w:rsidR="00FC2F10" w:rsidRDefault="00FC2F10" w:rsidP="00A735BC">
      <w:pPr>
        <w:spacing w:after="160"/>
        <w:ind w:right="499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:rsidR="00876B4B" w:rsidRDefault="00876B4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4A4E15" w:rsidRDefault="004A4E15" w:rsidP="004A4E15">
      <w:pPr>
        <w:spacing w:after="160"/>
        <w:ind w:right="49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ORGANIZACIÓN NACIONAL DE TRASPLANTES</w:t>
      </w:r>
    </w:p>
    <w:p w:rsidR="004A4E15" w:rsidRPr="004A4E15" w:rsidRDefault="004A4E15" w:rsidP="004A4E15">
      <w:pPr>
        <w:spacing w:after="160"/>
        <w:ind w:right="499"/>
        <w:jc w:val="both"/>
        <w:rPr>
          <w:rFonts w:ascii="Arial" w:hAnsi="Arial" w:cs="Arial"/>
          <w:b/>
          <w:sz w:val="22"/>
          <w:szCs w:val="22"/>
        </w:rPr>
      </w:pPr>
    </w:p>
    <w:p w:rsidR="004A4E15" w:rsidRDefault="004A4E15" w:rsidP="004D2F52">
      <w:pPr>
        <w:pStyle w:val="Prrafodelista"/>
        <w:numPr>
          <w:ilvl w:val="0"/>
          <w:numId w:val="12"/>
        </w:numPr>
        <w:spacing w:before="240" w:after="120" w:line="360" w:lineRule="auto"/>
        <w:ind w:left="426" w:hanging="426"/>
        <w:contextualSpacing w:val="0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DENOMINACIÓN</w:t>
      </w:r>
      <w:r w:rsidRPr="004A4E15">
        <w:rPr>
          <w:rFonts w:ascii="Arial" w:hAnsi="Arial" w:cs="Arial"/>
          <w:b/>
          <w:sz w:val="22"/>
          <w:szCs w:val="22"/>
          <w:lang w:val="es-ES_tradnl"/>
        </w:rPr>
        <w:t xml:space="preserve"> DEL COMPONENTE</w:t>
      </w:r>
    </w:p>
    <w:p w:rsidR="004A4E15" w:rsidRPr="0050398C" w:rsidRDefault="004A4E15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  <w:r w:rsidRPr="0050398C">
        <w:rPr>
          <w:rFonts w:ascii="Arial" w:hAnsi="Arial"/>
          <w:sz w:val="22"/>
          <w:szCs w:val="22"/>
        </w:rPr>
        <w:t>Renovación y ampliación de las capacidades del Sistema Nacional de Salud.</w:t>
      </w:r>
    </w:p>
    <w:p w:rsidR="004A4E15" w:rsidRPr="004D2F52" w:rsidRDefault="004A4E15" w:rsidP="004D2F52">
      <w:pPr>
        <w:pStyle w:val="Prrafodelista"/>
        <w:numPr>
          <w:ilvl w:val="0"/>
          <w:numId w:val="12"/>
        </w:numPr>
        <w:spacing w:before="240" w:after="120" w:line="360" w:lineRule="auto"/>
        <w:ind w:left="426" w:hanging="426"/>
        <w:contextualSpacing w:val="0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DESCRIPCIÓN GENERAL DEL COMPONENTE</w:t>
      </w:r>
    </w:p>
    <w:p w:rsidR="004D2F52" w:rsidRPr="00763F2A" w:rsidRDefault="004D2F52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  <w:r w:rsidRPr="00444993">
        <w:rPr>
          <w:rFonts w:ascii="Arial" w:hAnsi="Arial"/>
          <w:sz w:val="22"/>
          <w:szCs w:val="22"/>
        </w:rPr>
        <w:t>La crisis sanitaria ha puesto de manifiesto la fortaleza del Sistema Nacional de Salud, pero también ha expuesto las dificultades a los que se enfrenta a la hora de abordar situaciones que requieren anticipación, respuesta rápida y coordinación. También ha mostrado la necesidad de corregir problemas estructurales que ya existían y de responder a los retos emergentes en salud. El propósito es acometer las transformaciones necesarias e impulsar un cambio hacia un modelo más robusto, flexible y resiliente. Un modelo que afiance la sanidad pública como un servicio esencial del Estado del Bienestar, pero que también sea punta de lanza del desarrollo social en España</w:t>
      </w:r>
      <w:r w:rsidR="0050398C">
        <w:rPr>
          <w:rFonts w:ascii="Arial" w:hAnsi="Arial"/>
          <w:sz w:val="22"/>
          <w:szCs w:val="22"/>
        </w:rPr>
        <w:t>.</w:t>
      </w:r>
    </w:p>
    <w:p w:rsidR="004A4E15" w:rsidRPr="004D2F52" w:rsidRDefault="004A4E15" w:rsidP="004D2F52">
      <w:pPr>
        <w:pStyle w:val="Prrafodelista"/>
        <w:numPr>
          <w:ilvl w:val="0"/>
          <w:numId w:val="12"/>
        </w:numPr>
        <w:spacing w:before="240" w:after="120" w:line="360" w:lineRule="auto"/>
        <w:ind w:left="426" w:hanging="426"/>
        <w:contextualSpacing w:val="0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PRINCIPALES OBJETIVOS DEL COMPONENTE</w:t>
      </w:r>
    </w:p>
    <w:p w:rsidR="004D2F52" w:rsidRPr="00444993" w:rsidRDefault="004D2F52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  <w:r w:rsidRPr="00444993">
        <w:rPr>
          <w:rFonts w:ascii="Arial" w:hAnsi="Arial"/>
          <w:sz w:val="22"/>
          <w:szCs w:val="22"/>
        </w:rPr>
        <w:t>El objetivo general del componente es reforzar y fortalecer el Sistema Nacional de Salud español para que todas las personas tengan las máximas oportunidades de desarrollar y preservar su salud y que dispongan de un sistema sanitario público, universal y excelente, sólidamente cohesionado, proactivo, innovador e inteligente, que cuide y promocione su salud a lo largo de toda la vida, en todas sus esferas.</w:t>
      </w:r>
    </w:p>
    <w:p w:rsidR="004D2F52" w:rsidRPr="00444993" w:rsidRDefault="004D2F52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  <w:r w:rsidRPr="00444993">
        <w:rPr>
          <w:rFonts w:ascii="Arial" w:hAnsi="Arial"/>
          <w:sz w:val="22"/>
          <w:szCs w:val="22"/>
        </w:rPr>
        <w:t>En concreto, en el ámbito de la donación y trasplante se persigue:</w:t>
      </w:r>
    </w:p>
    <w:p w:rsidR="004D2F52" w:rsidRDefault="004D2F52" w:rsidP="004D2F52">
      <w:pPr>
        <w:pStyle w:val="Prrafodelista"/>
        <w:numPr>
          <w:ilvl w:val="0"/>
          <w:numId w:val="14"/>
        </w:numPr>
        <w:spacing w:before="240" w:after="120" w:line="360" w:lineRule="auto"/>
        <w:ind w:left="851" w:hanging="425"/>
        <w:contextualSpacing w:val="0"/>
        <w:jc w:val="both"/>
        <w:rPr>
          <w:rFonts w:ascii="Arial" w:hAnsi="Arial"/>
          <w:sz w:val="22"/>
          <w:szCs w:val="22"/>
        </w:rPr>
      </w:pPr>
      <w:r w:rsidRPr="00444993">
        <w:rPr>
          <w:rFonts w:ascii="Arial" w:hAnsi="Arial"/>
          <w:sz w:val="22"/>
          <w:szCs w:val="22"/>
        </w:rPr>
        <w:t>Mejoras de los sistemas de información de instituciones sanitarias de ámbito nacional</w:t>
      </w:r>
      <w:r>
        <w:rPr>
          <w:rFonts w:ascii="Arial" w:hAnsi="Arial"/>
          <w:sz w:val="22"/>
          <w:szCs w:val="22"/>
        </w:rPr>
        <w:t>.</w:t>
      </w:r>
    </w:p>
    <w:p w:rsidR="004D2F52" w:rsidRPr="004D2F52" w:rsidRDefault="004D2F52" w:rsidP="004D2F52">
      <w:pPr>
        <w:pStyle w:val="Prrafodelista"/>
        <w:numPr>
          <w:ilvl w:val="0"/>
          <w:numId w:val="14"/>
        </w:numPr>
        <w:spacing w:before="240" w:after="120" w:line="360" w:lineRule="auto"/>
        <w:ind w:left="851" w:hanging="425"/>
        <w:contextualSpacing w:val="0"/>
        <w:jc w:val="both"/>
        <w:rPr>
          <w:rFonts w:ascii="Arial" w:hAnsi="Arial"/>
          <w:sz w:val="22"/>
          <w:szCs w:val="22"/>
        </w:rPr>
      </w:pPr>
      <w:r w:rsidRPr="004D2F52">
        <w:rPr>
          <w:rFonts w:ascii="Arial" w:hAnsi="Arial"/>
          <w:sz w:val="22"/>
          <w:szCs w:val="22"/>
        </w:rPr>
        <w:t>Avanzar hacia un Sistema Nacional de Salud generador de información y conocimiento, digitalizado, y en el que se potencie la investigación y la innovación</w:t>
      </w:r>
      <w:r>
        <w:rPr>
          <w:rFonts w:ascii="Arial" w:hAnsi="Arial"/>
          <w:sz w:val="22"/>
          <w:szCs w:val="22"/>
        </w:rPr>
        <w:t xml:space="preserve"> sanitaria, constituyéndose en </w:t>
      </w:r>
      <w:r w:rsidRPr="004D2F52">
        <w:rPr>
          <w:rFonts w:ascii="Arial" w:hAnsi="Arial"/>
          <w:sz w:val="22"/>
          <w:szCs w:val="22"/>
        </w:rPr>
        <w:t xml:space="preserve">tractor del empleo, el crecimiento, la productividad y la innovación del tejido empresarial y la sociedad en su conjunto. </w:t>
      </w:r>
    </w:p>
    <w:p w:rsidR="004A4E15" w:rsidRPr="004D2F52" w:rsidRDefault="004A4E15" w:rsidP="004D2F52">
      <w:pPr>
        <w:pStyle w:val="Prrafodelista"/>
        <w:numPr>
          <w:ilvl w:val="0"/>
          <w:numId w:val="12"/>
        </w:numPr>
        <w:spacing w:before="240" w:after="120" w:line="360" w:lineRule="auto"/>
        <w:ind w:left="426" w:hanging="426"/>
        <w:contextualSpacing w:val="0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DESCRIPCIÓN DE LA INVERSIÓN</w:t>
      </w:r>
    </w:p>
    <w:p w:rsidR="004D2F52" w:rsidRDefault="004D2F52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  <w:r w:rsidRPr="004D2F52">
        <w:rPr>
          <w:rFonts w:ascii="Arial" w:hAnsi="Arial"/>
          <w:sz w:val="22"/>
          <w:szCs w:val="22"/>
        </w:rPr>
        <w:t xml:space="preserve">Esta inversión se centra en las mejoras en los sistemas de información de la Organización Nacional de Trasplantes, que va destinada a mejoras en la seguridad de los sistemas, intercambio de comunicación con el ciudadano y en la explotación de los datos </w:t>
      </w:r>
      <w:r w:rsidRPr="004D2F52">
        <w:rPr>
          <w:rFonts w:ascii="Arial" w:hAnsi="Arial"/>
          <w:sz w:val="22"/>
          <w:szCs w:val="22"/>
        </w:rPr>
        <w:lastRenderedPageBreak/>
        <w:t>necesario</w:t>
      </w:r>
      <w:r>
        <w:rPr>
          <w:rFonts w:ascii="Arial" w:hAnsi="Arial"/>
          <w:sz w:val="22"/>
          <w:szCs w:val="22"/>
        </w:rPr>
        <w:t>s</w:t>
      </w:r>
      <w:r w:rsidRPr="004D2F52">
        <w:rPr>
          <w:rFonts w:ascii="Arial" w:hAnsi="Arial"/>
          <w:sz w:val="22"/>
          <w:szCs w:val="22"/>
        </w:rPr>
        <w:t xml:space="preserve"> para hacer frente al aumento del volumen de datos manejados desde el inicio de la pandemia en cuanto a capacidad de procesamiento y almacenamiento</w:t>
      </w:r>
      <w:r>
        <w:rPr>
          <w:rFonts w:ascii="Arial" w:hAnsi="Arial"/>
          <w:sz w:val="22"/>
          <w:szCs w:val="22"/>
        </w:rPr>
        <w:t>.</w:t>
      </w:r>
    </w:p>
    <w:p w:rsidR="00842937" w:rsidRPr="004D2F52" w:rsidRDefault="00842937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</w:p>
    <w:p w:rsidR="004A4E15" w:rsidRPr="004D2F52" w:rsidRDefault="004A4E15" w:rsidP="004D2F52">
      <w:pPr>
        <w:pStyle w:val="Prrafodelista"/>
        <w:numPr>
          <w:ilvl w:val="0"/>
          <w:numId w:val="12"/>
        </w:numPr>
        <w:spacing w:before="240" w:after="120" w:line="360" w:lineRule="auto"/>
        <w:ind w:left="426" w:hanging="426"/>
        <w:contextualSpacing w:val="0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COSTE DE LA INVERSIÓN Y DISTRIBUCIÓN ANUALIZADA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63"/>
        <w:gridCol w:w="1021"/>
        <w:gridCol w:w="964"/>
        <w:gridCol w:w="964"/>
        <w:gridCol w:w="964"/>
        <w:gridCol w:w="964"/>
        <w:gridCol w:w="964"/>
        <w:gridCol w:w="964"/>
        <w:gridCol w:w="964"/>
      </w:tblGrid>
      <w:tr w:rsidR="004D2F52" w:rsidRPr="008C1FA6" w:rsidTr="001340DF">
        <w:trPr>
          <w:jc w:val="center"/>
        </w:trPr>
        <w:tc>
          <w:tcPr>
            <w:tcW w:w="0" w:type="auto"/>
            <w:vAlign w:val="center"/>
          </w:tcPr>
          <w:p w:rsidR="004D2F52" w:rsidRPr="008C1FA6" w:rsidRDefault="004D2F52" w:rsidP="001340D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Periodificación</w:t>
            </w:r>
          </w:p>
        </w:tc>
        <w:tc>
          <w:tcPr>
            <w:tcW w:w="1021" w:type="dxa"/>
            <w:vAlign w:val="center"/>
          </w:tcPr>
          <w:p w:rsidR="004D2F52" w:rsidRPr="008C1FA6" w:rsidRDefault="004D2F52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2020</w:t>
            </w:r>
          </w:p>
        </w:tc>
        <w:tc>
          <w:tcPr>
            <w:tcW w:w="964" w:type="dxa"/>
            <w:vAlign w:val="center"/>
          </w:tcPr>
          <w:p w:rsidR="004D2F52" w:rsidRPr="008C1FA6" w:rsidRDefault="004D2F52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2021</w:t>
            </w:r>
          </w:p>
        </w:tc>
        <w:tc>
          <w:tcPr>
            <w:tcW w:w="964" w:type="dxa"/>
            <w:vAlign w:val="center"/>
          </w:tcPr>
          <w:p w:rsidR="004D2F52" w:rsidRPr="008C1FA6" w:rsidRDefault="004D2F52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2022</w:t>
            </w:r>
          </w:p>
        </w:tc>
        <w:tc>
          <w:tcPr>
            <w:tcW w:w="964" w:type="dxa"/>
            <w:vAlign w:val="center"/>
          </w:tcPr>
          <w:p w:rsidR="004D2F52" w:rsidRPr="008C1FA6" w:rsidRDefault="004D2F52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2023</w:t>
            </w:r>
          </w:p>
        </w:tc>
        <w:tc>
          <w:tcPr>
            <w:tcW w:w="964" w:type="dxa"/>
            <w:vAlign w:val="center"/>
          </w:tcPr>
          <w:p w:rsidR="004D2F52" w:rsidRPr="008C1FA6" w:rsidRDefault="004D2F52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2024</w:t>
            </w:r>
          </w:p>
        </w:tc>
        <w:tc>
          <w:tcPr>
            <w:tcW w:w="964" w:type="dxa"/>
            <w:vAlign w:val="center"/>
          </w:tcPr>
          <w:p w:rsidR="004D2F52" w:rsidRPr="008C1FA6" w:rsidRDefault="004D2F52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2025</w:t>
            </w:r>
          </w:p>
        </w:tc>
        <w:tc>
          <w:tcPr>
            <w:tcW w:w="964" w:type="dxa"/>
            <w:vAlign w:val="center"/>
          </w:tcPr>
          <w:p w:rsidR="004D2F52" w:rsidRPr="008C1FA6" w:rsidRDefault="004D2F52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2026</w:t>
            </w:r>
          </w:p>
        </w:tc>
        <w:tc>
          <w:tcPr>
            <w:tcW w:w="964" w:type="dxa"/>
            <w:vAlign w:val="center"/>
          </w:tcPr>
          <w:p w:rsidR="004D2F52" w:rsidRPr="008C1FA6" w:rsidRDefault="004D2F52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</w:tr>
      <w:tr w:rsidR="004D2F52" w:rsidRPr="008C1FA6" w:rsidTr="004D2F52">
        <w:trPr>
          <w:jc w:val="center"/>
        </w:trPr>
        <w:tc>
          <w:tcPr>
            <w:tcW w:w="0" w:type="auto"/>
            <w:vAlign w:val="center"/>
          </w:tcPr>
          <w:p w:rsidR="004D2F52" w:rsidRDefault="004D2F52" w:rsidP="004D2F5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Coste del </w:t>
            </w:r>
          </w:p>
          <w:p w:rsidR="004D2F52" w:rsidRDefault="004D2F52" w:rsidP="004D2F5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Mecanismo </w:t>
            </w:r>
          </w:p>
          <w:p w:rsidR="004D2F52" w:rsidRPr="008C1FA6" w:rsidRDefault="004D2F52" w:rsidP="004D2F5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Miles de </w:t>
            </w:r>
            <w:r w:rsidRPr="008C1FA6">
              <w:rPr>
                <w:rFonts w:ascii="Arial" w:hAnsi="Arial" w:cs="Arial"/>
                <w:b/>
                <w:sz w:val="16"/>
                <w:szCs w:val="16"/>
              </w:rPr>
              <w:t>€)</w:t>
            </w:r>
          </w:p>
        </w:tc>
        <w:tc>
          <w:tcPr>
            <w:tcW w:w="1021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876B4B" w:rsidP="00876B4B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295</w:t>
            </w:r>
            <w:r w:rsidR="004D2F52" w:rsidRPr="004D2F52">
              <w:rPr>
                <w:rFonts w:ascii="Arial" w:hAnsi="Arial"/>
                <w:sz w:val="18"/>
                <w:szCs w:val="18"/>
              </w:rPr>
              <w:t>,00</w:t>
            </w: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  <w:r w:rsidRPr="004D2F52">
              <w:rPr>
                <w:rFonts w:ascii="Arial" w:hAnsi="Arial"/>
                <w:sz w:val="18"/>
                <w:szCs w:val="18"/>
              </w:rPr>
              <w:t>625,00</w:t>
            </w: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876B4B" w:rsidP="004D2F52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920,00</w:t>
            </w:r>
          </w:p>
        </w:tc>
      </w:tr>
      <w:tr w:rsidR="004D2F52" w:rsidRPr="008C1FA6" w:rsidTr="004D2F52">
        <w:trPr>
          <w:trHeight w:val="346"/>
          <w:jc w:val="center"/>
        </w:trPr>
        <w:tc>
          <w:tcPr>
            <w:tcW w:w="0" w:type="auto"/>
            <w:vAlign w:val="center"/>
          </w:tcPr>
          <w:p w:rsidR="004D2F52" w:rsidRDefault="004D2F52" w:rsidP="004D2F5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Otra </w:t>
            </w:r>
          </w:p>
          <w:p w:rsidR="004D2F52" w:rsidRDefault="004D2F52" w:rsidP="004D2F5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inanciación </w:t>
            </w:r>
          </w:p>
          <w:p w:rsidR="004D2F52" w:rsidRPr="008C1FA6" w:rsidRDefault="004D2F52" w:rsidP="004D2F5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Miles de </w:t>
            </w:r>
            <w:r w:rsidRPr="008C1FA6">
              <w:rPr>
                <w:rFonts w:ascii="Arial" w:hAnsi="Arial" w:cs="Arial"/>
                <w:b/>
                <w:sz w:val="16"/>
                <w:szCs w:val="16"/>
              </w:rPr>
              <w:t>€)</w:t>
            </w:r>
          </w:p>
        </w:tc>
        <w:tc>
          <w:tcPr>
            <w:tcW w:w="1021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D2F52" w:rsidRPr="008C1FA6" w:rsidTr="004D2F52">
        <w:trPr>
          <w:jc w:val="center"/>
        </w:trPr>
        <w:tc>
          <w:tcPr>
            <w:tcW w:w="0" w:type="auto"/>
            <w:vAlign w:val="center"/>
          </w:tcPr>
          <w:p w:rsidR="004D2F52" w:rsidRDefault="004D2F52" w:rsidP="004D2F5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Total </w:t>
            </w:r>
          </w:p>
          <w:p w:rsidR="004D2F52" w:rsidRPr="008C1FA6" w:rsidRDefault="004D2F52" w:rsidP="004D2F5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Miles de </w:t>
            </w:r>
            <w:r w:rsidRPr="008C1FA6">
              <w:rPr>
                <w:rFonts w:ascii="Arial" w:hAnsi="Arial" w:cs="Arial"/>
                <w:b/>
                <w:sz w:val="16"/>
                <w:szCs w:val="16"/>
              </w:rPr>
              <w:t>€)</w:t>
            </w:r>
          </w:p>
        </w:tc>
        <w:tc>
          <w:tcPr>
            <w:tcW w:w="1021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876B4B" w:rsidP="00876B4B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295</w:t>
            </w:r>
            <w:r w:rsidR="004D2F52" w:rsidRPr="004D2F52">
              <w:rPr>
                <w:rFonts w:ascii="Arial" w:hAnsi="Arial"/>
                <w:sz w:val="18"/>
                <w:szCs w:val="18"/>
              </w:rPr>
              <w:t>,00</w:t>
            </w: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  <w:r w:rsidRPr="004D2F52">
              <w:rPr>
                <w:rFonts w:ascii="Arial" w:hAnsi="Arial"/>
                <w:sz w:val="18"/>
                <w:szCs w:val="18"/>
              </w:rPr>
              <w:t>625,00</w:t>
            </w: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4D2F52" w:rsidP="004D2F52">
            <w:pPr>
              <w:spacing w:before="24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D2F52" w:rsidRPr="004D2F52" w:rsidRDefault="00876B4B" w:rsidP="004D2F52">
            <w:pPr>
              <w:spacing w:before="10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920,00</w:t>
            </w:r>
          </w:p>
        </w:tc>
      </w:tr>
    </w:tbl>
    <w:p w:rsidR="001340DF" w:rsidRDefault="001340DF" w:rsidP="00763F2A">
      <w:pPr>
        <w:spacing w:before="360" w:after="120" w:line="360" w:lineRule="auto"/>
        <w:ind w:left="360"/>
        <w:rPr>
          <w:rFonts w:ascii="Arial" w:hAnsi="Arial" w:cs="Arial"/>
          <w:b/>
          <w:sz w:val="22"/>
          <w:szCs w:val="22"/>
          <w:lang w:val="es-ES_tradnl"/>
        </w:rPr>
      </w:pPr>
    </w:p>
    <w:p w:rsidR="00FC2F10" w:rsidRPr="00763F2A" w:rsidRDefault="004A4E15" w:rsidP="00763F2A">
      <w:pPr>
        <w:pStyle w:val="Prrafodelista"/>
        <w:numPr>
          <w:ilvl w:val="0"/>
          <w:numId w:val="12"/>
        </w:numPr>
        <w:spacing w:before="240" w:after="120" w:line="360" w:lineRule="auto"/>
        <w:ind w:left="426" w:hanging="426"/>
        <w:contextualSpacing w:val="0"/>
        <w:rPr>
          <w:rFonts w:ascii="Arial" w:hAnsi="Arial" w:cs="Arial"/>
          <w:b/>
          <w:sz w:val="22"/>
          <w:szCs w:val="22"/>
          <w:lang w:val="es-ES_tradnl"/>
        </w:rPr>
      </w:pPr>
      <w:r w:rsidRPr="00763F2A">
        <w:rPr>
          <w:rFonts w:ascii="Arial" w:hAnsi="Arial" w:cs="Arial"/>
          <w:b/>
          <w:sz w:val="22"/>
          <w:szCs w:val="22"/>
          <w:lang w:val="es-ES_tradnl"/>
        </w:rPr>
        <w:t>HITOS Y OBJETIVOS DE LA INVERSIÓN</w:t>
      </w:r>
    </w:p>
    <w:p w:rsidR="00876B4B" w:rsidRPr="00876B4B" w:rsidRDefault="00876B4B" w:rsidP="00876B4B">
      <w:pPr>
        <w:pStyle w:val="Prrafodelista"/>
        <w:numPr>
          <w:ilvl w:val="0"/>
          <w:numId w:val="9"/>
        </w:numPr>
        <w:spacing w:before="120" w:after="120" w:line="360" w:lineRule="auto"/>
        <w:ind w:left="993" w:right="499" w:hanging="284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876B4B">
        <w:rPr>
          <w:rFonts w:ascii="Arial" w:hAnsi="Arial" w:cs="Arial"/>
          <w:sz w:val="22"/>
          <w:szCs w:val="22"/>
        </w:rPr>
        <w:t>Sistema de Información de la Red de Vigilancia en Salud Pública.</w:t>
      </w:r>
      <w:r>
        <w:rPr>
          <w:rFonts w:ascii="Arial" w:hAnsi="Arial" w:cs="Arial"/>
          <w:sz w:val="22"/>
          <w:szCs w:val="22"/>
        </w:rPr>
        <w:t xml:space="preserve"> </w:t>
      </w:r>
      <w:r w:rsidRPr="00876B4B">
        <w:rPr>
          <w:rFonts w:ascii="Arial" w:hAnsi="Arial" w:cs="Arial"/>
          <w:sz w:val="22"/>
          <w:szCs w:val="22"/>
        </w:rPr>
        <w:t>Certificado de entrada en funcionamiento.</w:t>
      </w:r>
    </w:p>
    <w:p w:rsidR="00876B4B" w:rsidRPr="00A340FD" w:rsidRDefault="00876B4B" w:rsidP="00876B4B">
      <w:pPr>
        <w:pStyle w:val="Prrafodelista"/>
        <w:numPr>
          <w:ilvl w:val="0"/>
          <w:numId w:val="7"/>
        </w:numPr>
        <w:spacing w:before="120" w:line="360" w:lineRule="auto"/>
        <w:ind w:left="993" w:right="499" w:hanging="284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Horizonte temporal: Trimestre 4. Año 2023.</w:t>
      </w:r>
    </w:p>
    <w:p w:rsidR="00876B4B" w:rsidRPr="0072359E" w:rsidRDefault="00876B4B" w:rsidP="00876B4B">
      <w:pPr>
        <w:spacing w:before="240" w:after="120" w:line="360" w:lineRule="auto"/>
        <w:ind w:left="992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Estará operativo un sistema de seguimiento para el Gobierno de España y las Comunidades Autónomas (Sistema de Información de la Red de Vigilancia en Salud Pública) que permitirá la alerta temprana y la respuesta rápida, con el fin de detectar problemas que puedan plantear un riesgo para la salud, difundir información de las autoridades competentes y facilitar la aplicación de medidas de control. </w:t>
      </w:r>
    </w:p>
    <w:p w:rsidR="004D2F52" w:rsidRDefault="004D2F52" w:rsidP="004D2F52">
      <w:pPr>
        <w:pStyle w:val="Prrafodelista"/>
        <w:spacing w:after="160"/>
        <w:ind w:right="499"/>
        <w:jc w:val="both"/>
        <w:rPr>
          <w:rFonts w:ascii="Arial" w:hAnsi="Arial" w:cs="Arial"/>
          <w:sz w:val="22"/>
          <w:szCs w:val="22"/>
        </w:rPr>
      </w:pPr>
    </w:p>
    <w:p w:rsidR="004D2F52" w:rsidRPr="004D2F52" w:rsidRDefault="004D2F52" w:rsidP="004D2F52">
      <w:pPr>
        <w:pStyle w:val="Prrafodelista"/>
        <w:spacing w:after="160"/>
        <w:ind w:right="499"/>
        <w:jc w:val="both"/>
        <w:rPr>
          <w:rFonts w:ascii="Arial" w:hAnsi="Arial" w:cs="Arial"/>
          <w:b/>
          <w:sz w:val="22"/>
          <w:szCs w:val="22"/>
        </w:rPr>
      </w:pPr>
    </w:p>
    <w:p w:rsidR="00876B4B" w:rsidRDefault="00876B4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A735BC" w:rsidRDefault="00A735BC" w:rsidP="00A735BC">
      <w:pPr>
        <w:spacing w:after="160"/>
        <w:ind w:right="49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AGENCIA ESPAÑOLA DE MEDICAMENTOS Y PRODUCTOS SANITARIOS (AEMPS)</w:t>
      </w:r>
    </w:p>
    <w:p w:rsidR="00A735BC" w:rsidRPr="00864D08" w:rsidRDefault="00A735BC" w:rsidP="008857D2">
      <w:pPr>
        <w:ind w:right="499"/>
        <w:jc w:val="both"/>
        <w:rPr>
          <w:rFonts w:ascii="Arial" w:hAnsi="Arial" w:cs="Arial"/>
          <w:b/>
          <w:sz w:val="22"/>
          <w:szCs w:val="22"/>
        </w:rPr>
      </w:pPr>
    </w:p>
    <w:p w:rsidR="00EE4493" w:rsidRPr="00C81211" w:rsidRDefault="00EE4493" w:rsidP="004A4E15">
      <w:pPr>
        <w:pStyle w:val="Ttulo1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81211">
        <w:rPr>
          <w:rFonts w:ascii="Arial" w:hAnsi="Arial" w:cs="Arial"/>
          <w:sz w:val="22"/>
          <w:szCs w:val="22"/>
        </w:rPr>
        <w:t>DENOMINACIÓN DEL COMPONENTE</w:t>
      </w:r>
    </w:p>
    <w:p w:rsidR="00A55973" w:rsidRDefault="00A55973" w:rsidP="00763F2A">
      <w:pPr>
        <w:spacing w:before="240" w:after="12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Renovación y ampliación de las capacidades</w:t>
      </w:r>
      <w:r w:rsidR="00EE0593">
        <w:rPr>
          <w:rFonts w:ascii="Arial" w:hAnsi="Arial" w:cs="Arial"/>
          <w:sz w:val="22"/>
          <w:szCs w:val="22"/>
        </w:rPr>
        <w:t xml:space="preserve"> del Sistema Nacional de Salud. </w:t>
      </w:r>
    </w:p>
    <w:p w:rsidR="00EE0593" w:rsidRDefault="00842937" w:rsidP="00763F2A">
      <w:pPr>
        <w:spacing w:before="240" w:after="12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EE0593">
        <w:rPr>
          <w:rFonts w:ascii="Arial" w:hAnsi="Arial" w:cs="Arial"/>
          <w:sz w:val="22"/>
          <w:szCs w:val="22"/>
        </w:rPr>
        <w:t>C18.I3. Aumento de capacidades de respuesta ante crisis sanitarias.</w:t>
      </w:r>
      <w:r w:rsidR="00EE0593">
        <w:rPr>
          <w:rFonts w:ascii="Arial" w:hAnsi="Arial" w:cs="Arial"/>
          <w:sz w:val="22"/>
          <w:szCs w:val="22"/>
        </w:rPr>
        <w:tab/>
      </w:r>
      <w:r w:rsidR="00EE0593">
        <w:rPr>
          <w:rFonts w:ascii="Arial" w:hAnsi="Arial" w:cs="Arial"/>
          <w:sz w:val="22"/>
          <w:szCs w:val="22"/>
        </w:rPr>
        <w:tab/>
      </w:r>
    </w:p>
    <w:p w:rsidR="00C81211" w:rsidRPr="00C81211" w:rsidRDefault="00A55973" w:rsidP="00763F2A">
      <w:pPr>
        <w:spacing w:before="240" w:after="120" w:line="360" w:lineRule="auto"/>
        <w:ind w:left="1133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C81211" w:rsidRPr="00C81211">
        <w:rPr>
          <w:rFonts w:ascii="Arial" w:hAnsi="Arial" w:cs="Arial"/>
          <w:sz w:val="22"/>
          <w:szCs w:val="22"/>
        </w:rPr>
        <w:t>18.I3.7 Inversiones tecnológicas en la A</w:t>
      </w:r>
      <w:r w:rsidR="00D96898">
        <w:rPr>
          <w:rFonts w:ascii="Arial" w:hAnsi="Arial" w:cs="Arial"/>
          <w:sz w:val="22"/>
          <w:szCs w:val="22"/>
        </w:rPr>
        <w:t>ge</w:t>
      </w:r>
      <w:r w:rsidR="00EE0593">
        <w:rPr>
          <w:rFonts w:ascii="Arial" w:hAnsi="Arial" w:cs="Arial"/>
          <w:sz w:val="22"/>
          <w:szCs w:val="22"/>
        </w:rPr>
        <w:t xml:space="preserve">ncia Española de Medicamentos y </w:t>
      </w:r>
      <w:r w:rsidR="00D96898">
        <w:rPr>
          <w:rFonts w:ascii="Arial" w:hAnsi="Arial" w:cs="Arial"/>
          <w:sz w:val="22"/>
          <w:szCs w:val="22"/>
        </w:rPr>
        <w:t>Productos Sanitarios (AEMPS)</w:t>
      </w:r>
      <w:r w:rsidR="00C81211" w:rsidRPr="00C81211">
        <w:rPr>
          <w:rFonts w:ascii="Arial" w:hAnsi="Arial" w:cs="Arial"/>
          <w:sz w:val="22"/>
          <w:szCs w:val="22"/>
        </w:rPr>
        <w:t>.</w:t>
      </w:r>
    </w:p>
    <w:p w:rsidR="008857D2" w:rsidRPr="00C81211" w:rsidRDefault="00EE4493" w:rsidP="004A4E15">
      <w:pPr>
        <w:pStyle w:val="Ttulo1"/>
        <w:numPr>
          <w:ilvl w:val="0"/>
          <w:numId w:val="1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81211">
        <w:rPr>
          <w:rFonts w:ascii="Arial" w:hAnsi="Arial" w:cs="Arial"/>
          <w:sz w:val="22"/>
          <w:szCs w:val="22"/>
        </w:rPr>
        <w:t>DESCRIPCIÓN GENERAL DEL COMPONENTE</w:t>
      </w:r>
    </w:p>
    <w:p w:rsidR="00C81211" w:rsidRPr="00763F2A" w:rsidRDefault="00C81211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  <w:r w:rsidRPr="00763F2A">
        <w:rPr>
          <w:rFonts w:ascii="Arial" w:hAnsi="Arial"/>
          <w:sz w:val="22"/>
          <w:szCs w:val="22"/>
        </w:rPr>
        <w:t>Mejora de los Sistemas de Información de la AEMPS.</w:t>
      </w:r>
    </w:p>
    <w:p w:rsidR="008857D2" w:rsidRPr="00C81211" w:rsidRDefault="00EE4493" w:rsidP="004A4E15">
      <w:pPr>
        <w:pStyle w:val="Ttulo1"/>
        <w:numPr>
          <w:ilvl w:val="0"/>
          <w:numId w:val="1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81211">
        <w:rPr>
          <w:rFonts w:ascii="Arial" w:hAnsi="Arial" w:cs="Arial"/>
          <w:sz w:val="22"/>
          <w:szCs w:val="22"/>
        </w:rPr>
        <w:t>PRINCIPALES OBJETIVOS DEL COMPONENTE</w:t>
      </w:r>
    </w:p>
    <w:p w:rsidR="00C81211" w:rsidRDefault="00C81211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  <w:r w:rsidRPr="00763F2A">
        <w:rPr>
          <w:rFonts w:ascii="Arial" w:hAnsi="Arial"/>
          <w:sz w:val="22"/>
          <w:szCs w:val="22"/>
        </w:rPr>
        <w:t>Renovación de la infraestructura informática para mejorar los servicios prestados por la AEMPS, e implantación de la estrategia de análisis de datos (Big Data) para generar nuevo conocimiento sobre los medicamentos.</w:t>
      </w:r>
    </w:p>
    <w:p w:rsidR="00842937" w:rsidRPr="00763F2A" w:rsidRDefault="00842937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</w:p>
    <w:p w:rsidR="008857D2" w:rsidRPr="00C81211" w:rsidRDefault="00EE4493" w:rsidP="004A4E15">
      <w:pPr>
        <w:pStyle w:val="Ttulo1"/>
        <w:numPr>
          <w:ilvl w:val="0"/>
          <w:numId w:val="1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81211">
        <w:rPr>
          <w:rFonts w:ascii="Arial" w:hAnsi="Arial" w:cs="Arial"/>
          <w:sz w:val="22"/>
          <w:szCs w:val="22"/>
        </w:rPr>
        <w:t>DESCRIPCIÓN DE LA INVERSIÓN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15"/>
        <w:gridCol w:w="4446"/>
      </w:tblGrid>
      <w:tr w:rsidR="00A55973" w:rsidTr="00AE2462">
        <w:trPr>
          <w:jc w:val="center"/>
        </w:trPr>
        <w:tc>
          <w:tcPr>
            <w:tcW w:w="4415" w:type="dxa"/>
          </w:tcPr>
          <w:p w:rsidR="00A55973" w:rsidRPr="00EE0593" w:rsidRDefault="00A55973" w:rsidP="00AE2462">
            <w:pPr>
              <w:spacing w:before="120" w:after="120" w:line="276" w:lineRule="auto"/>
              <w:ind w:right="74" w:firstLine="7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593">
              <w:rPr>
                <w:rFonts w:ascii="Arial" w:hAnsi="Arial" w:cs="Arial"/>
                <w:color w:val="000000" w:themeColor="text1"/>
                <w:sz w:val="22"/>
                <w:szCs w:val="22"/>
              </w:rPr>
              <w:t>Necesidad de la Inversión:</w:t>
            </w:r>
          </w:p>
        </w:tc>
        <w:tc>
          <w:tcPr>
            <w:tcW w:w="4446" w:type="dxa"/>
          </w:tcPr>
          <w:p w:rsidR="00A55973" w:rsidRPr="00A55973" w:rsidRDefault="00A55973" w:rsidP="00A55973">
            <w:pPr>
              <w:pStyle w:val="Prrafodelista"/>
              <w:spacing w:before="120" w:after="120" w:line="276" w:lineRule="auto"/>
              <w:ind w:left="0" w:right="74"/>
              <w:contextualSpacing w:val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Obsolescencia de 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hardware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, sistemas operativos y gestor de base de datos</w:t>
            </w:r>
          </w:p>
        </w:tc>
      </w:tr>
      <w:tr w:rsidR="00A55973" w:rsidTr="00AE2462">
        <w:trPr>
          <w:jc w:val="center"/>
        </w:trPr>
        <w:tc>
          <w:tcPr>
            <w:tcW w:w="4415" w:type="dxa"/>
          </w:tcPr>
          <w:p w:rsidR="00A55973" w:rsidRPr="00EE0593" w:rsidRDefault="00A55973" w:rsidP="00AE2462">
            <w:pPr>
              <w:spacing w:before="120" w:after="120" w:line="276" w:lineRule="auto"/>
              <w:ind w:right="74" w:firstLine="7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593">
              <w:rPr>
                <w:rFonts w:ascii="Arial" w:hAnsi="Arial" w:cs="Arial"/>
                <w:color w:val="000000" w:themeColor="text1"/>
                <w:sz w:val="22"/>
                <w:szCs w:val="22"/>
              </w:rPr>
              <w:t>A quién va dirigida la medida:</w:t>
            </w:r>
          </w:p>
        </w:tc>
        <w:tc>
          <w:tcPr>
            <w:tcW w:w="4446" w:type="dxa"/>
          </w:tcPr>
          <w:p w:rsidR="00A55973" w:rsidRDefault="00A55973" w:rsidP="00A55973">
            <w:pPr>
              <w:pStyle w:val="Prrafodelista"/>
              <w:spacing w:before="120" w:after="120" w:line="276" w:lineRule="auto"/>
              <w:ind w:left="0" w:right="74"/>
              <w:contextualSpacing w:val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Usuarios de los sistemas de información de la AEMPS, tanto internos como externos (ciudadanía, profesionales sanitarios, industria, Comunidades Autónomas, expertos externos).</w:t>
            </w:r>
          </w:p>
        </w:tc>
      </w:tr>
      <w:tr w:rsidR="00A55973" w:rsidTr="00AE2462">
        <w:trPr>
          <w:jc w:val="center"/>
        </w:trPr>
        <w:tc>
          <w:tcPr>
            <w:tcW w:w="4415" w:type="dxa"/>
          </w:tcPr>
          <w:p w:rsidR="00A55973" w:rsidRPr="00EE0593" w:rsidRDefault="00A55973" w:rsidP="00AE2462">
            <w:pPr>
              <w:spacing w:before="120" w:after="120" w:line="276" w:lineRule="auto"/>
              <w:ind w:right="74" w:firstLine="7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593">
              <w:rPr>
                <w:rFonts w:ascii="Arial" w:hAnsi="Arial" w:cs="Arial"/>
                <w:color w:val="000000" w:themeColor="text1"/>
                <w:sz w:val="22"/>
                <w:szCs w:val="22"/>
              </w:rPr>
              <w:t>Calendario:</w:t>
            </w:r>
          </w:p>
        </w:tc>
        <w:tc>
          <w:tcPr>
            <w:tcW w:w="4446" w:type="dxa"/>
          </w:tcPr>
          <w:p w:rsidR="00A55973" w:rsidRDefault="00A55973" w:rsidP="00A55973">
            <w:pPr>
              <w:pStyle w:val="Prrafodelista"/>
              <w:spacing w:before="120" w:after="120" w:line="276" w:lineRule="auto"/>
              <w:ind w:left="0" w:right="74"/>
              <w:contextualSpacing w:val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Años 2021, 2022 y 2023.</w:t>
            </w:r>
          </w:p>
        </w:tc>
      </w:tr>
    </w:tbl>
    <w:p w:rsidR="00A55973" w:rsidRPr="00763F2A" w:rsidRDefault="00A55973" w:rsidP="00763F2A">
      <w:pPr>
        <w:pStyle w:val="Prrafodelista"/>
        <w:spacing w:before="240" w:after="120" w:line="360" w:lineRule="auto"/>
        <w:ind w:left="0" w:firstLine="709"/>
        <w:contextualSpacing w:val="0"/>
        <w:jc w:val="both"/>
        <w:rPr>
          <w:rFonts w:ascii="Arial" w:hAnsi="Arial"/>
          <w:sz w:val="22"/>
          <w:szCs w:val="22"/>
        </w:rPr>
      </w:pPr>
      <w:r w:rsidRPr="00763F2A">
        <w:rPr>
          <w:rFonts w:ascii="Arial" w:hAnsi="Arial"/>
          <w:sz w:val="22"/>
          <w:szCs w:val="22"/>
        </w:rPr>
        <w:t>Las actuaciones definidas son:</w:t>
      </w:r>
    </w:p>
    <w:p w:rsidR="00A55973" w:rsidRPr="00A55973" w:rsidRDefault="00C81211" w:rsidP="009E1AA3">
      <w:pPr>
        <w:pStyle w:val="Prrafodelista"/>
        <w:numPr>
          <w:ilvl w:val="0"/>
          <w:numId w:val="4"/>
        </w:numPr>
        <w:spacing w:before="240" w:after="120" w:line="360" w:lineRule="auto"/>
        <w:ind w:left="709" w:right="74" w:hanging="283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81211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Proyecto MEQA</w:t>
      </w:r>
      <w:r w:rsidRPr="00C81211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(</w:t>
      </w:r>
      <w:r w:rsidRPr="00C81211">
        <w:rPr>
          <w:rFonts w:ascii="Arial" w:hAnsi="Arial" w:cs="Arial"/>
          <w:i/>
          <w:color w:val="000000" w:themeColor="text1"/>
          <w:sz w:val="22"/>
          <w:szCs w:val="22"/>
          <w:lang w:val="en-US"/>
        </w:rPr>
        <w:t>Medicines Questions and Answers</w:t>
      </w:r>
      <w:r w:rsidRPr="00C81211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). </w:t>
      </w:r>
    </w:p>
    <w:p w:rsidR="00C81211" w:rsidRDefault="00C81211" w:rsidP="00A55973">
      <w:pPr>
        <w:pStyle w:val="Prrafodelista"/>
        <w:spacing w:before="240" w:after="120" w:line="360" w:lineRule="auto"/>
        <w:ind w:left="709" w:right="74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81211">
        <w:rPr>
          <w:rFonts w:ascii="Arial" w:hAnsi="Arial" w:cs="Arial"/>
          <w:color w:val="000000" w:themeColor="text1"/>
          <w:sz w:val="22"/>
          <w:szCs w:val="22"/>
        </w:rPr>
        <w:t xml:space="preserve">Este proyecto pretende ir un paso más allá en facilitar la información de medicamentos a los pacientes. La información de producto está basada actualmente en el prospecto que es un documento estandarizado en formato papel, producido durante el proceso de autorización del medicamento y mantenido durante el ciclo de vida del mismo. El proyecto consiste a mejorar el acceso al contenido del prospecto utilizando técnicas </w:t>
      </w:r>
      <w:r w:rsidRPr="00C81211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PLN (Procesamiento de lenguaje natural) desarrollando </w:t>
      </w:r>
      <w:r w:rsidRPr="000844C0">
        <w:rPr>
          <w:rFonts w:ascii="Arial" w:hAnsi="Arial" w:cs="Arial"/>
          <w:i/>
          <w:color w:val="000000" w:themeColor="text1"/>
          <w:sz w:val="22"/>
          <w:szCs w:val="22"/>
        </w:rPr>
        <w:t>software</w:t>
      </w:r>
      <w:r w:rsidRPr="00C81211">
        <w:rPr>
          <w:rFonts w:ascii="Arial" w:hAnsi="Arial" w:cs="Arial"/>
          <w:color w:val="000000" w:themeColor="text1"/>
          <w:sz w:val="22"/>
          <w:szCs w:val="22"/>
        </w:rPr>
        <w:t xml:space="preserve"> adaptado a la </w:t>
      </w:r>
      <w:r w:rsidRPr="000844C0">
        <w:rPr>
          <w:rFonts w:ascii="Arial" w:hAnsi="Arial" w:cs="Arial"/>
          <w:i/>
          <w:color w:val="000000" w:themeColor="text1"/>
          <w:sz w:val="22"/>
          <w:szCs w:val="22"/>
        </w:rPr>
        <w:t>web</w:t>
      </w:r>
      <w:r w:rsidRPr="00C81211">
        <w:rPr>
          <w:rFonts w:ascii="Arial" w:hAnsi="Arial" w:cs="Arial"/>
          <w:color w:val="000000" w:themeColor="text1"/>
          <w:sz w:val="22"/>
          <w:szCs w:val="22"/>
        </w:rPr>
        <w:t xml:space="preserve"> y a dispositivos móviles que ante preguntas concretas de los pacientes ofrezcan de forma precisa la información disponible en el prospecto usando las frases y párrafos existentes en el prospecto.</w:t>
      </w:r>
    </w:p>
    <w:p w:rsidR="00A55973" w:rsidRDefault="00C81211" w:rsidP="009E1AA3">
      <w:pPr>
        <w:pStyle w:val="Prrafodelista"/>
        <w:numPr>
          <w:ilvl w:val="0"/>
          <w:numId w:val="4"/>
        </w:numPr>
        <w:spacing w:before="240" w:after="120" w:line="360" w:lineRule="auto"/>
        <w:ind w:left="709" w:right="74" w:hanging="283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81211">
        <w:rPr>
          <w:rFonts w:ascii="Arial" w:hAnsi="Arial" w:cs="Arial"/>
          <w:b/>
          <w:color w:val="000000" w:themeColor="text1"/>
          <w:sz w:val="22"/>
          <w:szCs w:val="22"/>
        </w:rPr>
        <w:t>Intérprete de fichas técnicas</w:t>
      </w:r>
      <w:r w:rsidRPr="00C81211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:rsidR="00C81211" w:rsidRDefault="00C81211" w:rsidP="00A55973">
      <w:pPr>
        <w:pStyle w:val="Prrafodelista"/>
        <w:spacing w:before="240" w:after="120" w:line="360" w:lineRule="auto"/>
        <w:ind w:left="709" w:right="74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81211">
        <w:rPr>
          <w:rFonts w:ascii="Arial" w:hAnsi="Arial" w:cs="Arial"/>
          <w:color w:val="000000" w:themeColor="text1"/>
          <w:sz w:val="22"/>
          <w:szCs w:val="22"/>
        </w:rPr>
        <w:t xml:space="preserve">Este proyecto pretende ir un paso más allá en facilitar la información de medicamentos a los profesionales. Es un proyecto equivalente al proyecto MEQA </w:t>
      </w:r>
      <w:r w:rsidR="00690201" w:rsidRPr="00690201">
        <w:rPr>
          <w:rFonts w:ascii="Arial" w:hAnsi="Arial" w:cs="Arial"/>
          <w:i/>
          <w:color w:val="000000" w:themeColor="text1"/>
          <w:sz w:val="22"/>
          <w:szCs w:val="22"/>
        </w:rPr>
        <w:t>(Medicines Questions and Answers)</w:t>
      </w:r>
      <w:r w:rsidR="00690201" w:rsidRPr="0069020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81211">
        <w:rPr>
          <w:rFonts w:ascii="Arial" w:hAnsi="Arial" w:cs="Arial"/>
          <w:color w:val="000000" w:themeColor="text1"/>
          <w:sz w:val="22"/>
          <w:szCs w:val="22"/>
        </w:rPr>
        <w:t>pero se basa en la Ficha Técnica del medicamento. Partiendo de las fichas técnicas autorizadas y aprovechando que son documentos de calidad tanto semántica como sintáctica son susceptibles de ser explotados a través de tecnología PLN responder a los profesionales a preguntas relacionadas con su contenido.</w:t>
      </w:r>
    </w:p>
    <w:p w:rsidR="00C81211" w:rsidRPr="00763F2A" w:rsidRDefault="00C81211" w:rsidP="009E1AA3">
      <w:pPr>
        <w:pStyle w:val="Prrafodelista"/>
        <w:numPr>
          <w:ilvl w:val="0"/>
          <w:numId w:val="4"/>
        </w:numPr>
        <w:spacing w:before="240" w:after="120" w:line="360" w:lineRule="auto"/>
        <w:ind w:right="74" w:hanging="218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5973">
        <w:rPr>
          <w:rFonts w:ascii="Arial" w:hAnsi="Arial" w:cs="Arial"/>
          <w:b/>
          <w:color w:val="000000" w:themeColor="text1"/>
          <w:sz w:val="22"/>
          <w:szCs w:val="22"/>
        </w:rPr>
        <w:t>Evolución de BIFAP</w:t>
      </w:r>
      <w:r w:rsidRPr="00A5597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844C0" w:rsidRPr="00A55973">
        <w:rPr>
          <w:rFonts w:ascii="Arial" w:hAnsi="Arial" w:cs="Arial"/>
          <w:color w:val="000000" w:themeColor="text1"/>
          <w:sz w:val="22"/>
          <w:szCs w:val="22"/>
        </w:rPr>
        <w:t>(base datos informatizada de registros médicos de Atención Primaria para la realización de estudios farmacoepidemiológicos)</w:t>
      </w:r>
      <w:r w:rsidR="00A5597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A55973" w:rsidRPr="00A55973">
        <w:rPr>
          <w:rFonts w:ascii="Arial" w:hAnsi="Arial" w:cs="Arial"/>
          <w:color w:val="000000" w:themeColor="text1"/>
          <w:sz w:val="22"/>
          <w:szCs w:val="22"/>
        </w:rPr>
        <w:t>C</w:t>
      </w:r>
      <w:r w:rsidRPr="00A55973">
        <w:rPr>
          <w:rFonts w:ascii="Arial" w:hAnsi="Arial" w:cs="Arial"/>
          <w:color w:val="000000" w:themeColor="text1"/>
          <w:sz w:val="22"/>
          <w:szCs w:val="22"/>
        </w:rPr>
        <w:t>omo fuente de datos epidemiológicos extrayendo de forma sistematizada información de Historias Clínicas de atención primaria y hosp</w:t>
      </w:r>
      <w:r w:rsidR="000844C0" w:rsidRPr="00A55973">
        <w:rPr>
          <w:rFonts w:ascii="Arial" w:hAnsi="Arial" w:cs="Arial"/>
          <w:color w:val="000000" w:themeColor="text1"/>
          <w:sz w:val="22"/>
          <w:szCs w:val="22"/>
        </w:rPr>
        <w:t xml:space="preserve">italarias y aplicando técnicas de Inteligencia </w:t>
      </w:r>
      <w:r w:rsidRPr="00A55973">
        <w:rPr>
          <w:rFonts w:ascii="Arial" w:hAnsi="Arial" w:cs="Arial"/>
          <w:color w:val="000000" w:themeColor="text1"/>
          <w:sz w:val="22"/>
          <w:szCs w:val="22"/>
        </w:rPr>
        <w:t>A</w:t>
      </w:r>
      <w:r w:rsidR="000844C0" w:rsidRPr="00A55973">
        <w:rPr>
          <w:rFonts w:ascii="Arial" w:hAnsi="Arial" w:cs="Arial"/>
          <w:color w:val="000000" w:themeColor="text1"/>
          <w:sz w:val="22"/>
          <w:szCs w:val="22"/>
        </w:rPr>
        <w:t>rtificial (IA)</w:t>
      </w:r>
      <w:r w:rsidRPr="00A55973">
        <w:rPr>
          <w:rFonts w:ascii="Arial" w:hAnsi="Arial" w:cs="Arial"/>
          <w:color w:val="000000" w:themeColor="text1"/>
          <w:sz w:val="22"/>
          <w:szCs w:val="22"/>
        </w:rPr>
        <w:t xml:space="preserve"> para explotación de datos</w:t>
      </w:r>
      <w:r w:rsidRPr="00A55973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:rsidR="00842937" w:rsidRPr="00A55973" w:rsidRDefault="00842937" w:rsidP="00763F2A">
      <w:pPr>
        <w:pStyle w:val="Prrafodelista"/>
        <w:spacing w:before="240" w:after="120" w:line="360" w:lineRule="auto"/>
        <w:ind w:left="644" w:right="74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8857D2" w:rsidRDefault="008857D2" w:rsidP="004A4E15">
      <w:pPr>
        <w:pStyle w:val="Ttulo1"/>
        <w:numPr>
          <w:ilvl w:val="0"/>
          <w:numId w:val="1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COSTE DE LA INVERSIÓN Y DISTRIBUCIÓN ANUALIZADA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434"/>
        <w:gridCol w:w="1021"/>
        <w:gridCol w:w="964"/>
        <w:gridCol w:w="964"/>
        <w:gridCol w:w="964"/>
        <w:gridCol w:w="964"/>
        <w:gridCol w:w="964"/>
        <w:gridCol w:w="964"/>
        <w:gridCol w:w="964"/>
      </w:tblGrid>
      <w:tr w:rsidR="00477136" w:rsidRPr="008C1FA6" w:rsidTr="00477136">
        <w:trPr>
          <w:jc w:val="center"/>
        </w:trPr>
        <w:tc>
          <w:tcPr>
            <w:tcW w:w="0" w:type="auto"/>
            <w:vAlign w:val="center"/>
          </w:tcPr>
          <w:p w:rsidR="00477136" w:rsidRPr="008C1FA6" w:rsidRDefault="00477136" w:rsidP="001340D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Periodificación</w:t>
            </w:r>
          </w:p>
        </w:tc>
        <w:tc>
          <w:tcPr>
            <w:tcW w:w="1021" w:type="dxa"/>
            <w:vAlign w:val="center"/>
          </w:tcPr>
          <w:p w:rsidR="00477136" w:rsidRPr="008C1FA6" w:rsidRDefault="00477136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2020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2021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2022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2023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2024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2025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2026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1340DF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</w:tr>
      <w:tr w:rsidR="00C81211" w:rsidRPr="008C1FA6" w:rsidTr="00C81211">
        <w:trPr>
          <w:jc w:val="center"/>
        </w:trPr>
        <w:tc>
          <w:tcPr>
            <w:tcW w:w="0" w:type="auto"/>
            <w:vAlign w:val="center"/>
          </w:tcPr>
          <w:p w:rsidR="00C81211" w:rsidRDefault="00C81211" w:rsidP="00C8121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Coste del </w:t>
            </w:r>
          </w:p>
          <w:p w:rsidR="00C81211" w:rsidRPr="008C1FA6" w:rsidRDefault="00C81211" w:rsidP="00C8121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Mecanismo (€)</w:t>
            </w:r>
          </w:p>
        </w:tc>
        <w:tc>
          <w:tcPr>
            <w:tcW w:w="1021" w:type="dxa"/>
            <w:vAlign w:val="center"/>
          </w:tcPr>
          <w:p w:rsidR="00C81211" w:rsidRPr="008C1FA6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2D7BF7" w:rsidRDefault="00C81211" w:rsidP="00C8121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2D7BF7">
              <w:rPr>
                <w:rFonts w:ascii="Arial" w:hAnsi="Arial"/>
                <w:sz w:val="18"/>
                <w:szCs w:val="18"/>
              </w:rPr>
              <w:t>280.000</w:t>
            </w:r>
          </w:p>
        </w:tc>
        <w:tc>
          <w:tcPr>
            <w:tcW w:w="964" w:type="dxa"/>
            <w:vAlign w:val="center"/>
          </w:tcPr>
          <w:p w:rsidR="00C81211" w:rsidRPr="002D7BF7" w:rsidRDefault="00C81211" w:rsidP="00C8121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2D7BF7">
              <w:rPr>
                <w:rFonts w:ascii="Arial" w:hAnsi="Arial"/>
                <w:sz w:val="18"/>
                <w:szCs w:val="18"/>
              </w:rPr>
              <w:t>140.000</w:t>
            </w:r>
          </w:p>
        </w:tc>
        <w:tc>
          <w:tcPr>
            <w:tcW w:w="964" w:type="dxa"/>
            <w:vAlign w:val="center"/>
          </w:tcPr>
          <w:p w:rsidR="00C81211" w:rsidRPr="002D7BF7" w:rsidRDefault="00C81211" w:rsidP="00C8121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2D7BF7">
              <w:rPr>
                <w:rFonts w:ascii="Arial" w:hAnsi="Arial"/>
                <w:sz w:val="18"/>
                <w:szCs w:val="18"/>
              </w:rPr>
              <w:t>400.000</w:t>
            </w:r>
          </w:p>
        </w:tc>
        <w:tc>
          <w:tcPr>
            <w:tcW w:w="964" w:type="dxa"/>
            <w:vAlign w:val="center"/>
          </w:tcPr>
          <w:p w:rsidR="00C81211" w:rsidRPr="008C1FA6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8C1FA6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8C1FA6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  <w:r w:rsidRPr="000844C0">
              <w:rPr>
                <w:rFonts w:ascii="Arial" w:hAnsi="Arial"/>
                <w:sz w:val="18"/>
                <w:szCs w:val="18"/>
              </w:rPr>
              <w:t>820.000</w:t>
            </w:r>
          </w:p>
        </w:tc>
      </w:tr>
      <w:tr w:rsidR="00C81211" w:rsidRPr="008C1FA6" w:rsidTr="00C81211">
        <w:trPr>
          <w:trHeight w:val="346"/>
          <w:jc w:val="center"/>
        </w:trPr>
        <w:tc>
          <w:tcPr>
            <w:tcW w:w="0" w:type="auto"/>
            <w:vAlign w:val="center"/>
          </w:tcPr>
          <w:p w:rsidR="00C81211" w:rsidRDefault="00C81211" w:rsidP="00C8121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 xml:space="preserve">Otra </w:t>
            </w:r>
          </w:p>
          <w:p w:rsidR="00C81211" w:rsidRPr="008C1FA6" w:rsidRDefault="00C81211" w:rsidP="00C8121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Pr="008C1FA6">
              <w:rPr>
                <w:rFonts w:ascii="Arial" w:hAnsi="Arial" w:cs="Arial"/>
                <w:b/>
                <w:sz w:val="16"/>
                <w:szCs w:val="16"/>
              </w:rPr>
              <w:t>inanciación (€)</w:t>
            </w:r>
          </w:p>
        </w:tc>
        <w:tc>
          <w:tcPr>
            <w:tcW w:w="1021" w:type="dxa"/>
            <w:vAlign w:val="center"/>
          </w:tcPr>
          <w:p w:rsidR="00C81211" w:rsidRPr="008C1FA6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2D7BF7" w:rsidRDefault="00C81211" w:rsidP="00C81211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C81211" w:rsidRPr="002D7BF7" w:rsidRDefault="00C81211" w:rsidP="00C81211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C81211" w:rsidRPr="002D7BF7" w:rsidRDefault="00C81211" w:rsidP="00C81211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C81211" w:rsidRPr="008C1FA6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8C1FA6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8C1FA6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C81211" w:rsidRPr="008C1FA6" w:rsidTr="00C81211">
        <w:trPr>
          <w:jc w:val="center"/>
        </w:trPr>
        <w:tc>
          <w:tcPr>
            <w:tcW w:w="0" w:type="auto"/>
            <w:vAlign w:val="center"/>
          </w:tcPr>
          <w:p w:rsidR="00C81211" w:rsidRPr="008C1FA6" w:rsidRDefault="00C81211" w:rsidP="00C81211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1FA6">
              <w:rPr>
                <w:rFonts w:ascii="Arial" w:hAnsi="Arial" w:cs="Arial"/>
                <w:b/>
                <w:sz w:val="16"/>
                <w:szCs w:val="16"/>
              </w:rPr>
              <w:t>Total (€)</w:t>
            </w:r>
          </w:p>
        </w:tc>
        <w:tc>
          <w:tcPr>
            <w:tcW w:w="1021" w:type="dxa"/>
            <w:vAlign w:val="center"/>
          </w:tcPr>
          <w:p w:rsidR="00C81211" w:rsidRPr="000844C0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0844C0">
              <w:rPr>
                <w:rFonts w:ascii="Arial" w:hAnsi="Arial"/>
                <w:sz w:val="18"/>
                <w:szCs w:val="18"/>
              </w:rPr>
              <w:t>280.000</w:t>
            </w: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0844C0">
              <w:rPr>
                <w:rFonts w:ascii="Arial" w:hAnsi="Arial"/>
                <w:sz w:val="18"/>
                <w:szCs w:val="18"/>
              </w:rPr>
              <w:t>140.000</w:t>
            </w: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0844C0">
              <w:rPr>
                <w:rFonts w:ascii="Arial" w:hAnsi="Arial"/>
                <w:sz w:val="18"/>
                <w:szCs w:val="18"/>
              </w:rPr>
              <w:t>400.000</w:t>
            </w: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C81211" w:rsidRPr="000844C0" w:rsidRDefault="00C81211" w:rsidP="00C81211">
            <w:pPr>
              <w:spacing w:before="100"/>
              <w:jc w:val="right"/>
              <w:rPr>
                <w:rFonts w:ascii="Arial" w:hAnsi="Arial"/>
                <w:sz w:val="18"/>
                <w:szCs w:val="18"/>
              </w:rPr>
            </w:pPr>
            <w:r w:rsidRPr="000844C0">
              <w:rPr>
                <w:rFonts w:ascii="Arial" w:hAnsi="Arial"/>
                <w:sz w:val="18"/>
                <w:szCs w:val="18"/>
              </w:rPr>
              <w:t>820.000</w:t>
            </w:r>
          </w:p>
        </w:tc>
      </w:tr>
    </w:tbl>
    <w:p w:rsidR="00842937" w:rsidRDefault="00842937" w:rsidP="00763F2A">
      <w:pPr>
        <w:pStyle w:val="Ttulo1"/>
        <w:spacing w:before="360"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8857D2" w:rsidRDefault="008857D2" w:rsidP="00763F2A">
      <w:pPr>
        <w:pStyle w:val="Ttulo1"/>
        <w:numPr>
          <w:ilvl w:val="0"/>
          <w:numId w:val="13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HITOS Y OBJETIVOS DE LA INVERSIÓN</w:t>
      </w:r>
    </w:p>
    <w:p w:rsidR="006D7B58" w:rsidRPr="00876B4B" w:rsidRDefault="006D7B58" w:rsidP="006D7B58">
      <w:pPr>
        <w:pStyle w:val="Prrafodelista"/>
        <w:numPr>
          <w:ilvl w:val="0"/>
          <w:numId w:val="9"/>
        </w:numPr>
        <w:spacing w:before="120" w:after="120" w:line="360" w:lineRule="auto"/>
        <w:ind w:left="993" w:right="499" w:hanging="284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876B4B">
        <w:rPr>
          <w:rFonts w:ascii="Arial" w:hAnsi="Arial" w:cs="Arial"/>
          <w:sz w:val="22"/>
          <w:szCs w:val="22"/>
        </w:rPr>
        <w:t>Sistema de Información de la Red de Vigilancia en Salud Pública.</w:t>
      </w:r>
      <w:r>
        <w:rPr>
          <w:rFonts w:ascii="Arial" w:hAnsi="Arial" w:cs="Arial"/>
          <w:sz w:val="22"/>
          <w:szCs w:val="22"/>
        </w:rPr>
        <w:t xml:space="preserve"> </w:t>
      </w:r>
      <w:r w:rsidRPr="00876B4B">
        <w:rPr>
          <w:rFonts w:ascii="Arial" w:hAnsi="Arial" w:cs="Arial"/>
          <w:sz w:val="22"/>
          <w:szCs w:val="22"/>
        </w:rPr>
        <w:t>Certificado de entrada en funcionamiento.</w:t>
      </w:r>
    </w:p>
    <w:p w:rsidR="006D7B58" w:rsidRPr="00A340FD" w:rsidRDefault="006D7B58" w:rsidP="006D7B58">
      <w:pPr>
        <w:pStyle w:val="Prrafodelista"/>
        <w:numPr>
          <w:ilvl w:val="0"/>
          <w:numId w:val="7"/>
        </w:numPr>
        <w:spacing w:before="120" w:line="360" w:lineRule="auto"/>
        <w:ind w:left="993" w:right="499" w:hanging="284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Horizonte temporal: Trimestre 4. Año 2023.</w:t>
      </w:r>
    </w:p>
    <w:p w:rsidR="006D7B58" w:rsidRPr="0072359E" w:rsidRDefault="006D7B58" w:rsidP="006D7B58">
      <w:pPr>
        <w:spacing w:before="240" w:after="120" w:line="360" w:lineRule="auto"/>
        <w:ind w:left="992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Estará operativo un sistema de seguimiento para el Gobierno de España y las Comunidades Autónomas (Sistema de Información de la Red de Vigilancia en Salud Pública) que permitirá la alerta temprana y la respuesta rápida, con el fin de detectar problemas que puedan plantear un riesgo para la salud, difundir información de las autoridades competentes y facilitar la aplicación de medidas de control. </w:t>
      </w:r>
    </w:p>
    <w:p w:rsidR="00A945B5" w:rsidRDefault="00A945B5" w:rsidP="00A945B5">
      <w:pPr>
        <w:rPr>
          <w:lang w:val="es-ES_tradnl"/>
        </w:rPr>
      </w:pPr>
    </w:p>
    <w:p w:rsidR="00A84B2E" w:rsidRDefault="00A84B2E" w:rsidP="00C81211">
      <w:pPr>
        <w:rPr>
          <w:lang w:val="es-ES_tradnl"/>
        </w:rPr>
      </w:pPr>
    </w:p>
    <w:p w:rsidR="00C81211" w:rsidRPr="00C81211" w:rsidRDefault="00C81211" w:rsidP="00C81211">
      <w:pPr>
        <w:rPr>
          <w:lang w:val="es-ES_tradnl"/>
        </w:rPr>
      </w:pPr>
    </w:p>
    <w:sectPr w:rsidR="00C81211" w:rsidRPr="00C81211" w:rsidSect="00477136">
      <w:footerReference w:type="even" r:id="rId7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0DF" w:rsidRDefault="001340DF">
      <w:r>
        <w:separator/>
      </w:r>
    </w:p>
  </w:endnote>
  <w:endnote w:type="continuationSeparator" w:id="0">
    <w:p w:rsidR="001340DF" w:rsidRDefault="0013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0DF" w:rsidRDefault="001340DF" w:rsidP="004702C3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340DF" w:rsidRDefault="001340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0DF" w:rsidRDefault="001340DF">
      <w:r>
        <w:separator/>
      </w:r>
    </w:p>
  </w:footnote>
  <w:footnote w:type="continuationSeparator" w:id="0">
    <w:p w:rsidR="001340DF" w:rsidRDefault="00134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C23A4"/>
    <w:multiLevelType w:val="hybridMultilevel"/>
    <w:tmpl w:val="E6781966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5515B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173930"/>
    <w:multiLevelType w:val="hybridMultilevel"/>
    <w:tmpl w:val="ADF2B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E8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73399D"/>
    <w:multiLevelType w:val="singleLevel"/>
    <w:tmpl w:val="A81A8F1C"/>
    <w:lvl w:ilvl="0">
      <w:start w:val="1"/>
      <w:numFmt w:val="bullet"/>
      <w:pStyle w:val="listaconpunto"/>
      <w:lvlText w:val=""/>
      <w:lvlJc w:val="left"/>
      <w:pPr>
        <w:tabs>
          <w:tab w:val="num" w:pos="1021"/>
        </w:tabs>
        <w:ind w:left="1021" w:hanging="454"/>
      </w:pPr>
      <w:rPr>
        <w:rFonts w:ascii="Wingdings" w:hAnsi="Wingdings" w:hint="default"/>
      </w:rPr>
    </w:lvl>
  </w:abstractNum>
  <w:abstractNum w:abstractNumId="5" w15:restartNumberingAfterBreak="0">
    <w:nsid w:val="21DC2719"/>
    <w:multiLevelType w:val="hybridMultilevel"/>
    <w:tmpl w:val="6D887C4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202D8E"/>
    <w:multiLevelType w:val="hybridMultilevel"/>
    <w:tmpl w:val="D222DD54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59404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E1069B2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1722720"/>
    <w:multiLevelType w:val="hybridMultilevel"/>
    <w:tmpl w:val="569E3BEE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A1523C"/>
    <w:multiLevelType w:val="hybridMultilevel"/>
    <w:tmpl w:val="07C672F4"/>
    <w:lvl w:ilvl="0" w:tplc="D56C2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2A56A9"/>
    <w:multiLevelType w:val="hybridMultilevel"/>
    <w:tmpl w:val="A8EE5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37F8A"/>
    <w:multiLevelType w:val="hybridMultilevel"/>
    <w:tmpl w:val="5AA0227A"/>
    <w:lvl w:ilvl="0" w:tplc="0C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A49BD"/>
    <w:multiLevelType w:val="hybridMultilevel"/>
    <w:tmpl w:val="F4F4C70C"/>
    <w:lvl w:ilvl="0" w:tplc="977CEE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154D7"/>
    <w:multiLevelType w:val="hybridMultilevel"/>
    <w:tmpl w:val="6D2EEF7A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B87B28"/>
    <w:multiLevelType w:val="hybridMultilevel"/>
    <w:tmpl w:val="B6BA83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12FB1"/>
    <w:multiLevelType w:val="singleLevel"/>
    <w:tmpl w:val="D5EE8D30"/>
    <w:lvl w:ilvl="0">
      <w:start w:val="11"/>
      <w:numFmt w:val="bullet"/>
      <w:pStyle w:val="listaconguin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</w:rPr>
    </w:lvl>
  </w:abstractNum>
  <w:abstractNum w:abstractNumId="17" w15:restartNumberingAfterBreak="0">
    <w:nsid w:val="7BA666F3"/>
    <w:multiLevelType w:val="hybridMultilevel"/>
    <w:tmpl w:val="AA44A6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10"/>
  </w:num>
  <w:num w:numId="8">
    <w:abstractNumId w:val="2"/>
  </w:num>
  <w:num w:numId="9">
    <w:abstractNumId w:val="5"/>
  </w:num>
  <w:num w:numId="10">
    <w:abstractNumId w:val="7"/>
  </w:num>
  <w:num w:numId="11">
    <w:abstractNumId w:val="1"/>
  </w:num>
  <w:num w:numId="12">
    <w:abstractNumId w:val="13"/>
  </w:num>
  <w:num w:numId="13">
    <w:abstractNumId w:val="8"/>
  </w:num>
  <w:num w:numId="14">
    <w:abstractNumId w:val="12"/>
  </w:num>
  <w:num w:numId="15">
    <w:abstractNumId w:val="17"/>
  </w:num>
  <w:num w:numId="16">
    <w:abstractNumId w:val="0"/>
  </w:num>
  <w:num w:numId="17">
    <w:abstractNumId w:val="9"/>
  </w:num>
  <w:num w:numId="1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901"/>
    <w:rsid w:val="00030845"/>
    <w:rsid w:val="00044F11"/>
    <w:rsid w:val="00073949"/>
    <w:rsid w:val="000844C0"/>
    <w:rsid w:val="000E04BA"/>
    <w:rsid w:val="000E073D"/>
    <w:rsid w:val="000E7E8C"/>
    <w:rsid w:val="000F034C"/>
    <w:rsid w:val="00116DE6"/>
    <w:rsid w:val="0012168B"/>
    <w:rsid w:val="00122892"/>
    <w:rsid w:val="00125E27"/>
    <w:rsid w:val="001340DF"/>
    <w:rsid w:val="0013478E"/>
    <w:rsid w:val="00145EF6"/>
    <w:rsid w:val="00154A03"/>
    <w:rsid w:val="00156AEF"/>
    <w:rsid w:val="00171350"/>
    <w:rsid w:val="00171BEC"/>
    <w:rsid w:val="00172117"/>
    <w:rsid w:val="0017254D"/>
    <w:rsid w:val="0018626C"/>
    <w:rsid w:val="001D199A"/>
    <w:rsid w:val="001D5E33"/>
    <w:rsid w:val="001D78FC"/>
    <w:rsid w:val="001F6408"/>
    <w:rsid w:val="00214110"/>
    <w:rsid w:val="00214831"/>
    <w:rsid w:val="002241E4"/>
    <w:rsid w:val="0022787E"/>
    <w:rsid w:val="00232F6D"/>
    <w:rsid w:val="0023353A"/>
    <w:rsid w:val="00233A13"/>
    <w:rsid w:val="002435FC"/>
    <w:rsid w:val="002726F4"/>
    <w:rsid w:val="00280233"/>
    <w:rsid w:val="002A7680"/>
    <w:rsid w:val="002B3226"/>
    <w:rsid w:val="002B7A4B"/>
    <w:rsid w:val="002C1435"/>
    <w:rsid w:val="002D4D8A"/>
    <w:rsid w:val="002F2277"/>
    <w:rsid w:val="00303D73"/>
    <w:rsid w:val="00327E62"/>
    <w:rsid w:val="00333086"/>
    <w:rsid w:val="00356847"/>
    <w:rsid w:val="00356C2C"/>
    <w:rsid w:val="00361974"/>
    <w:rsid w:val="00370B35"/>
    <w:rsid w:val="00375ED9"/>
    <w:rsid w:val="00380893"/>
    <w:rsid w:val="003B7C25"/>
    <w:rsid w:val="003F13F7"/>
    <w:rsid w:val="004520BF"/>
    <w:rsid w:val="0045758B"/>
    <w:rsid w:val="004702C3"/>
    <w:rsid w:val="0047041A"/>
    <w:rsid w:val="004710D3"/>
    <w:rsid w:val="00477136"/>
    <w:rsid w:val="004A2532"/>
    <w:rsid w:val="004A4E15"/>
    <w:rsid w:val="004B7A1B"/>
    <w:rsid w:val="004C76F6"/>
    <w:rsid w:val="004D2F52"/>
    <w:rsid w:val="004F1780"/>
    <w:rsid w:val="004F3041"/>
    <w:rsid w:val="004F7E4F"/>
    <w:rsid w:val="005037B1"/>
    <w:rsid w:val="0050398C"/>
    <w:rsid w:val="0051579D"/>
    <w:rsid w:val="005338B1"/>
    <w:rsid w:val="00545A16"/>
    <w:rsid w:val="0055247C"/>
    <w:rsid w:val="005659D8"/>
    <w:rsid w:val="0058462F"/>
    <w:rsid w:val="005850EC"/>
    <w:rsid w:val="005A6CD6"/>
    <w:rsid w:val="005B0F61"/>
    <w:rsid w:val="005C2BA2"/>
    <w:rsid w:val="005D29DF"/>
    <w:rsid w:val="005E30D4"/>
    <w:rsid w:val="005E767D"/>
    <w:rsid w:val="005F0212"/>
    <w:rsid w:val="005F5E3B"/>
    <w:rsid w:val="006105AF"/>
    <w:rsid w:val="006137FA"/>
    <w:rsid w:val="00621A98"/>
    <w:rsid w:val="006262FE"/>
    <w:rsid w:val="00633A7A"/>
    <w:rsid w:val="00652CAB"/>
    <w:rsid w:val="00664C03"/>
    <w:rsid w:val="00665034"/>
    <w:rsid w:val="00666962"/>
    <w:rsid w:val="00676C89"/>
    <w:rsid w:val="0067752A"/>
    <w:rsid w:val="00690201"/>
    <w:rsid w:val="0069388C"/>
    <w:rsid w:val="006945F7"/>
    <w:rsid w:val="006B28A5"/>
    <w:rsid w:val="006B2B1D"/>
    <w:rsid w:val="006B55EA"/>
    <w:rsid w:val="006C183A"/>
    <w:rsid w:val="006C4DC1"/>
    <w:rsid w:val="006C5EF4"/>
    <w:rsid w:val="006D7B58"/>
    <w:rsid w:val="006E2AF3"/>
    <w:rsid w:val="00721565"/>
    <w:rsid w:val="00723BC2"/>
    <w:rsid w:val="007251D8"/>
    <w:rsid w:val="00735923"/>
    <w:rsid w:val="0075219B"/>
    <w:rsid w:val="00763F2A"/>
    <w:rsid w:val="007744C6"/>
    <w:rsid w:val="00782659"/>
    <w:rsid w:val="00792A58"/>
    <w:rsid w:val="007979F8"/>
    <w:rsid w:val="007B6F99"/>
    <w:rsid w:val="007C0D14"/>
    <w:rsid w:val="007C58E7"/>
    <w:rsid w:val="007D779A"/>
    <w:rsid w:val="007E2440"/>
    <w:rsid w:val="007E55AD"/>
    <w:rsid w:val="007E6E0A"/>
    <w:rsid w:val="007F2351"/>
    <w:rsid w:val="007F3C80"/>
    <w:rsid w:val="007F5B78"/>
    <w:rsid w:val="0081138C"/>
    <w:rsid w:val="00822FFE"/>
    <w:rsid w:val="00842937"/>
    <w:rsid w:val="00854B8F"/>
    <w:rsid w:val="00864D08"/>
    <w:rsid w:val="00876B4B"/>
    <w:rsid w:val="00877347"/>
    <w:rsid w:val="00883973"/>
    <w:rsid w:val="008857D2"/>
    <w:rsid w:val="00890DB6"/>
    <w:rsid w:val="0089561D"/>
    <w:rsid w:val="008B4D7A"/>
    <w:rsid w:val="008B780C"/>
    <w:rsid w:val="008E6ED9"/>
    <w:rsid w:val="008F6CA8"/>
    <w:rsid w:val="009133F7"/>
    <w:rsid w:val="009153A5"/>
    <w:rsid w:val="00943F12"/>
    <w:rsid w:val="00947BED"/>
    <w:rsid w:val="00953E1C"/>
    <w:rsid w:val="00961088"/>
    <w:rsid w:val="009613E7"/>
    <w:rsid w:val="00964914"/>
    <w:rsid w:val="00965E32"/>
    <w:rsid w:val="00966784"/>
    <w:rsid w:val="00981231"/>
    <w:rsid w:val="009849AD"/>
    <w:rsid w:val="009A3521"/>
    <w:rsid w:val="009C01A9"/>
    <w:rsid w:val="009D0F53"/>
    <w:rsid w:val="009D29CD"/>
    <w:rsid w:val="009D6197"/>
    <w:rsid w:val="009E1AA3"/>
    <w:rsid w:val="009E3C31"/>
    <w:rsid w:val="00A04340"/>
    <w:rsid w:val="00A10864"/>
    <w:rsid w:val="00A37381"/>
    <w:rsid w:val="00A44522"/>
    <w:rsid w:val="00A55973"/>
    <w:rsid w:val="00A5716D"/>
    <w:rsid w:val="00A62B3B"/>
    <w:rsid w:val="00A735BC"/>
    <w:rsid w:val="00A77A8C"/>
    <w:rsid w:val="00A84B2E"/>
    <w:rsid w:val="00A945B5"/>
    <w:rsid w:val="00AA35D3"/>
    <w:rsid w:val="00AB776C"/>
    <w:rsid w:val="00AC1A1B"/>
    <w:rsid w:val="00AD3BF6"/>
    <w:rsid w:val="00AE0965"/>
    <w:rsid w:val="00AE2462"/>
    <w:rsid w:val="00B027ED"/>
    <w:rsid w:val="00B02878"/>
    <w:rsid w:val="00B04869"/>
    <w:rsid w:val="00B07F92"/>
    <w:rsid w:val="00B11B97"/>
    <w:rsid w:val="00B127A5"/>
    <w:rsid w:val="00B12CCA"/>
    <w:rsid w:val="00B23B5E"/>
    <w:rsid w:val="00B4567C"/>
    <w:rsid w:val="00B51B75"/>
    <w:rsid w:val="00B609BB"/>
    <w:rsid w:val="00B73B27"/>
    <w:rsid w:val="00B76503"/>
    <w:rsid w:val="00B810D3"/>
    <w:rsid w:val="00B95D2E"/>
    <w:rsid w:val="00B974E4"/>
    <w:rsid w:val="00BA1D5A"/>
    <w:rsid w:val="00BC1D07"/>
    <w:rsid w:val="00BC2A43"/>
    <w:rsid w:val="00C05775"/>
    <w:rsid w:val="00C07201"/>
    <w:rsid w:val="00C07EB4"/>
    <w:rsid w:val="00C152BE"/>
    <w:rsid w:val="00C41278"/>
    <w:rsid w:val="00C43DE3"/>
    <w:rsid w:val="00C50F60"/>
    <w:rsid w:val="00C57320"/>
    <w:rsid w:val="00C61B45"/>
    <w:rsid w:val="00C71BC6"/>
    <w:rsid w:val="00C72E62"/>
    <w:rsid w:val="00C81211"/>
    <w:rsid w:val="00C844C1"/>
    <w:rsid w:val="00C92B38"/>
    <w:rsid w:val="00C950CE"/>
    <w:rsid w:val="00CA12AB"/>
    <w:rsid w:val="00CA5396"/>
    <w:rsid w:val="00CA6B90"/>
    <w:rsid w:val="00D2725F"/>
    <w:rsid w:val="00D322BF"/>
    <w:rsid w:val="00D323F1"/>
    <w:rsid w:val="00D33C3F"/>
    <w:rsid w:val="00D44B84"/>
    <w:rsid w:val="00D87B6F"/>
    <w:rsid w:val="00D96898"/>
    <w:rsid w:val="00DC1C75"/>
    <w:rsid w:val="00DD3315"/>
    <w:rsid w:val="00DD6203"/>
    <w:rsid w:val="00E110AB"/>
    <w:rsid w:val="00E260A9"/>
    <w:rsid w:val="00E27C8C"/>
    <w:rsid w:val="00E311C7"/>
    <w:rsid w:val="00E5394E"/>
    <w:rsid w:val="00E84414"/>
    <w:rsid w:val="00E87B27"/>
    <w:rsid w:val="00EB1937"/>
    <w:rsid w:val="00EB76E7"/>
    <w:rsid w:val="00EE0593"/>
    <w:rsid w:val="00EE4493"/>
    <w:rsid w:val="00F24901"/>
    <w:rsid w:val="00F27D1E"/>
    <w:rsid w:val="00F3773E"/>
    <w:rsid w:val="00F61710"/>
    <w:rsid w:val="00F66B6A"/>
    <w:rsid w:val="00F77BB0"/>
    <w:rsid w:val="00F93085"/>
    <w:rsid w:val="00FA6521"/>
    <w:rsid w:val="00FB5268"/>
    <w:rsid w:val="00FC2F10"/>
    <w:rsid w:val="00F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6E94B5-1706-4125-BC16-A2E5A207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240"/>
      <w:outlineLvl w:val="0"/>
    </w:pPr>
    <w:rPr>
      <w:b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Cs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pPr>
      <w:tabs>
        <w:tab w:val="left" w:pos="496"/>
      </w:tabs>
      <w:spacing w:before="10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listaconguin">
    <w:name w:val="lista con guión"/>
    <w:basedOn w:val="Textoindependiente"/>
    <w:pPr>
      <w:numPr>
        <w:numId w:val="1"/>
      </w:numPr>
      <w:spacing w:before="120" w:line="360" w:lineRule="auto"/>
      <w:jc w:val="both"/>
    </w:pPr>
    <w:rPr>
      <w:szCs w:val="20"/>
      <w:lang w:val="es-ES_tradnl"/>
    </w:rPr>
  </w:style>
  <w:style w:type="paragraph" w:customStyle="1" w:styleId="listaconpunto">
    <w:name w:val="lista con punto"/>
    <w:basedOn w:val="Normal"/>
    <w:pPr>
      <w:numPr>
        <w:numId w:val="2"/>
      </w:numPr>
      <w:spacing w:before="100"/>
    </w:pPr>
    <w:rPr>
      <w:szCs w:val="20"/>
      <w:lang w:val="es-ES_tradnl"/>
    </w:rPr>
  </w:style>
  <w:style w:type="paragraph" w:styleId="Textoindependiente">
    <w:name w:val="Body Text"/>
    <w:basedOn w:val="Normal"/>
    <w:pPr>
      <w:spacing w:after="120"/>
    </w:pPr>
  </w:style>
  <w:style w:type="paragraph" w:customStyle="1" w:styleId="Objetivos">
    <w:name w:val="Objetivos"/>
    <w:basedOn w:val="Normal"/>
    <w:pPr>
      <w:spacing w:before="120" w:after="120" w:line="360" w:lineRule="atLeast"/>
      <w:jc w:val="both"/>
    </w:pPr>
    <w:rPr>
      <w:rFonts w:ascii="Courier" w:hAnsi="Courier"/>
      <w:b/>
      <w:szCs w:val="20"/>
      <w:u w:val="single"/>
      <w:lang w:val="es-ES_tradnl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20"/>
      <w:szCs w:val="20"/>
      <w:u w:val="single"/>
    </w:rPr>
  </w:style>
  <w:style w:type="paragraph" w:styleId="Sangradetextonormal">
    <w:name w:val="Body Text Indent"/>
    <w:basedOn w:val="Normal"/>
    <w:pPr>
      <w:spacing w:before="120" w:after="120" w:line="360" w:lineRule="auto"/>
      <w:ind w:firstLine="540"/>
      <w:jc w:val="both"/>
    </w:pPr>
  </w:style>
  <w:style w:type="paragraph" w:styleId="Sangra2detindependiente">
    <w:name w:val="Body Text Indent 2"/>
    <w:basedOn w:val="Normal"/>
    <w:pPr>
      <w:spacing w:before="120" w:after="120" w:line="360" w:lineRule="auto"/>
      <w:ind w:left="540" w:firstLine="540"/>
      <w:jc w:val="both"/>
    </w:pPr>
    <w:rPr>
      <w:noProof/>
    </w:rPr>
  </w:style>
  <w:style w:type="paragraph" w:styleId="Textoindependiente2">
    <w:name w:val="Body Text 2"/>
    <w:basedOn w:val="Normal"/>
    <w:pPr>
      <w:spacing w:before="120" w:after="120" w:line="360" w:lineRule="auto"/>
      <w:jc w:val="both"/>
    </w:pPr>
    <w:rPr>
      <w:noProof/>
    </w:rPr>
  </w:style>
  <w:style w:type="paragraph" w:customStyle="1" w:styleId="1erGuin">
    <w:name w:val="1er. Guión"/>
    <w:basedOn w:val="Normal"/>
    <w:pPr>
      <w:tabs>
        <w:tab w:val="left" w:pos="1701"/>
      </w:tabs>
      <w:spacing w:before="120" w:after="120" w:line="312" w:lineRule="exact"/>
      <w:ind w:firstLine="1134"/>
      <w:jc w:val="both"/>
    </w:pPr>
    <w:rPr>
      <w:szCs w:val="20"/>
      <w:lang w:val="es-ES_tradnl"/>
    </w:rPr>
  </w:style>
  <w:style w:type="paragraph" w:styleId="Sangra3detindependiente">
    <w:name w:val="Body Text Indent 3"/>
    <w:basedOn w:val="Normal"/>
    <w:pPr>
      <w:spacing w:before="120" w:after="120" w:line="360" w:lineRule="auto"/>
      <w:ind w:firstLine="540"/>
      <w:jc w:val="both"/>
    </w:pPr>
    <w:rPr>
      <w:b/>
      <w:bCs/>
      <w:noProof/>
    </w:rPr>
  </w:style>
  <w:style w:type="paragraph" w:styleId="Textodebloque">
    <w:name w:val="Block Text"/>
    <w:basedOn w:val="Normal"/>
    <w:rsid w:val="00F24901"/>
    <w:pPr>
      <w:tabs>
        <w:tab w:val="left" w:pos="352"/>
        <w:tab w:val="num" w:pos="1063"/>
      </w:tabs>
      <w:spacing w:line="360" w:lineRule="auto"/>
      <w:ind w:left="354" w:right="358" w:firstLine="354"/>
      <w:jc w:val="both"/>
    </w:pPr>
    <w:rPr>
      <w:rFonts w:ascii="Arial" w:hAnsi="Arial"/>
      <w:sz w:val="22"/>
      <w:szCs w:val="20"/>
      <w:lang w:val="es-ES_tradnl"/>
    </w:rPr>
  </w:style>
  <w:style w:type="paragraph" w:styleId="Textodeglobo">
    <w:name w:val="Balloon Text"/>
    <w:basedOn w:val="Normal"/>
    <w:semiHidden/>
    <w:rsid w:val="00A37381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4702C3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702C3"/>
  </w:style>
  <w:style w:type="paragraph" w:styleId="Prrafodelista">
    <w:name w:val="List Paragraph"/>
    <w:aliases w:val="Normal N3,Arial 8,Bullet,Párrafo de lista11,List Paragraph1,Párrafo de lista1,Dot pt,F5 List Paragraph,No Spacing1,List Paragraph Char Char Char,Indicator Text,Colorful List - Accent 11,Numbered Para 1,Bullet 1,Bullet Points,- Bullets"/>
    <w:basedOn w:val="Normal"/>
    <w:link w:val="PrrafodelistaCar"/>
    <w:uiPriority w:val="34"/>
    <w:qFormat/>
    <w:rsid w:val="008F6CA8"/>
    <w:pPr>
      <w:ind w:left="720"/>
      <w:contextualSpacing/>
    </w:pPr>
  </w:style>
  <w:style w:type="paragraph" w:customStyle="1" w:styleId="Activid-Obj-Indicador">
    <w:name w:val="Activid.-Obj.-Indicador."/>
    <w:basedOn w:val="Normal"/>
    <w:rsid w:val="00AA35D3"/>
    <w:pPr>
      <w:tabs>
        <w:tab w:val="left" w:pos="426"/>
      </w:tabs>
      <w:spacing w:before="720" w:after="120" w:line="360" w:lineRule="atLeast"/>
      <w:jc w:val="both"/>
    </w:pPr>
    <w:rPr>
      <w:b/>
      <w:szCs w:val="20"/>
      <w:lang w:val="es-ES_tradnl"/>
    </w:rPr>
  </w:style>
  <w:style w:type="paragraph" w:customStyle="1" w:styleId="NObjetivo">
    <w:name w:val="Nº. Objetivo"/>
    <w:basedOn w:val="Normal"/>
    <w:rsid w:val="00AA35D3"/>
    <w:pPr>
      <w:keepNext/>
      <w:spacing w:before="240" w:after="240" w:line="360" w:lineRule="atLeast"/>
      <w:ind w:firstLine="1134"/>
      <w:jc w:val="both"/>
    </w:pPr>
    <w:rPr>
      <w:b/>
      <w:szCs w:val="20"/>
      <w:lang w:val="es-ES_tradnl"/>
    </w:rPr>
  </w:style>
  <w:style w:type="paragraph" w:customStyle="1" w:styleId="tabla">
    <w:name w:val="tabla"/>
    <w:basedOn w:val="Normal"/>
    <w:rsid w:val="00AA35D3"/>
    <w:pPr>
      <w:spacing w:before="60" w:after="60" w:line="320" w:lineRule="atLeast"/>
      <w:jc w:val="center"/>
    </w:pPr>
    <w:rPr>
      <w:rFonts w:ascii="Arial" w:hAnsi="Arial"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0E04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04BA"/>
    <w:rPr>
      <w:sz w:val="24"/>
      <w:szCs w:val="24"/>
    </w:rPr>
  </w:style>
  <w:style w:type="paragraph" w:customStyle="1" w:styleId="Default">
    <w:name w:val="Default"/>
    <w:rsid w:val="0078265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rsid w:val="00885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Normal N3 Car,Arial 8 Car,Bullet Car,Párrafo de lista11 Car,List Paragraph1 Car,Párrafo de lista1 Car,Dot pt Car,F5 List Paragraph Car,No Spacing1 Car,List Paragraph Char Char Char Car,Indicator Text Car,Numbered Para 1 Car"/>
    <w:link w:val="Prrafodelista"/>
    <w:uiPriority w:val="34"/>
    <w:qFormat/>
    <w:locked/>
    <w:rsid w:val="00C812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9</Pages>
  <Words>2097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311M</vt:lpstr>
    </vt:vector>
  </TitlesOfParts>
  <Company>msc.es</Company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311M</dc:title>
  <dc:creator>msc.es</dc:creator>
  <cp:lastModifiedBy>Limón Vázquez, Rocío</cp:lastModifiedBy>
  <cp:revision>30</cp:revision>
  <cp:lastPrinted>2020-10-19T08:44:00Z</cp:lastPrinted>
  <dcterms:created xsi:type="dcterms:W3CDTF">2020-10-19T12:09:00Z</dcterms:created>
  <dcterms:modified xsi:type="dcterms:W3CDTF">2022-06-13T11:21:00Z</dcterms:modified>
</cp:coreProperties>
</file>